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371600" cy="7232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723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40"/>
      </w:pPr>
      <w:r>
        <w:rPr>
          <w:rFonts w:ascii="Calibri" w:hAnsi="Calibri"/>
          <w:b/>
          <w:color w:val="4A6B25"/>
          <w:sz w:val="56"/>
        </w:rPr>
        <w:t>IOVA</w:t>
      </w:r>
      <w:r>
        <w:rPr>
          <w:rFonts w:ascii="Calibri" w:hAnsi="Calibri"/>
          <w:b/>
          <w:color w:val="1A2010"/>
          <w:sz w:val="40"/>
        </w:rPr>
        <w:t xml:space="preserve">  Iovance Biotherapeutics, Inc.</w:t>
      </w:r>
    </w:p>
    <w:p>
      <w:pPr>
        <w:spacing w:after="120"/>
      </w:pPr>
      <w:r>
        <w:rPr>
          <w:rFonts w:ascii="Calibri" w:hAnsi="Calibri"/>
          <w:b/>
          <w:color w:val="6E8450"/>
          <w:sz w:val="18"/>
        </w:rPr>
        <w:t>GROWTH SLEEVE · 2026-08-16 · Inspire: 39 · MIXED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1200" w:type="dxa"/>
      </w:tblPr>
      <w:tblGrid>
        <w:gridCol w:w="10800"/>
      </w:tblGrid>
      <w:tr>
        <w:tc>
          <w:tcPr>
            <w:tcW w:type="dxa" w:w="10800"/>
            <w:shd w:fill="E3F2FD" w:val="clea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2563EB"/>
                <w:sz w:val="20"/>
              </w:rPr>
              <w:t>WATCH</w:t>
            </w:r>
          </w:p>
        </w:tc>
      </w:tr>
    </w:tbl>
    <w:p>
      <w:pPr>
        <w:spacing w:before="120" w:after="200"/>
      </w:pPr>
      <w:r>
        <w:rPr>
          <w:rFonts w:ascii="Calibri" w:hAnsi="Calibri"/>
          <w:b/>
          <w:color w:val="1A2010"/>
          <w:sz w:val="80"/>
        </w:rPr>
        <w:t>53</w:t>
      </w:r>
      <w:r>
        <w:rPr>
          <w:rFonts w:ascii="Calibri" w:hAnsi="Calibri"/>
          <w:b w:val="0"/>
          <w:color w:val="9DAF88"/>
          <w:sz w:val="28"/>
        </w:rPr>
        <w:t xml:space="preserve"> / </w:t>
      </w:r>
      <w:r>
        <w:rPr>
          <w:rFonts w:ascii="Calibri" w:hAnsi="Calibri"/>
          <w:b w:val="0"/>
          <w:color w:val="9DAF88"/>
          <w:sz w:val="24"/>
        </w:rPr>
        <w:t>100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COMPANY PROFILE</w:t>
            </w:r>
          </w:p>
        </w:tc>
      </w:tr>
    </w:tbl>
    <w:p>
      <w:r>
        <w:rPr>
          <w:rFonts w:ascii="Calibri" w:hAnsi="Calibri"/>
          <w:b/>
          <w:color w:val="6E8450"/>
          <w:sz w:val="18"/>
        </w:rPr>
        <w:t>Healthcare · Biotechnology · NASDAQ · United States</w:t>
      </w:r>
    </w:p>
    <w:p>
      <w:pPr>
        <w:spacing w:after="80"/>
      </w:pPr>
      <w:r>
        <w:rPr>
          <w:rFonts w:ascii="Calibri" w:hAnsi="Calibri"/>
          <w:b w:val="0"/>
          <w:color w:val="3A4A28"/>
          <w:sz w:val="20"/>
        </w:rPr>
        <w:t>Iovance Biotherapeutics is a San Carlos, California-based commercial-stage cell therapy company that developed Amtagvi (lifileucel), the first FDA-approved tumor-infiltrating lymphocyte (TIL) therapy, for advanced melanoma, alongside its Proleukin (IL-2) product. Under CEO Fred Vogt — General Counsel since 2016 and CEO since 2021 — the company built out internal manufacturing capacity and reported record Q2 2026 revenue of $99.3M (+66% YoY), with Amtagvi revenue up 51% sequentially and 2026 full-year guidance of $350-370M under review for a potential upward revision.</w:t>
      </w:r>
    </w:p>
    <w:p>
      <w:r>
        <w:rPr>
          <w:rFonts w:ascii="Calibri" w:hAnsi="Calibri"/>
          <w:b/>
          <w:color w:val="6E8450"/>
          <w:sz w:val="18"/>
        </w:rPr>
        <w:t>975 Employees · https://www.iovance.com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EXCELLENCE EVALUATION — THINK LIKE AN OWNER (50%)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Innovation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Track Record (3/3): Iovance transformed from a clinical-stage company into the first commercial-stage TIL cell therapy company with Amtagvi's FDA approval, expanding to 95 authorized (targeting 110+ by year-end 2026) treatment centers and delivering record Q2 2026 revenue of $99.3M, up 66% YoY [1]. AI Deployment (0/2): No evidence of AI-powered manufacturing, discovery, or operational deployment was found. Market Share (2/2): Amtagvi is the first and only FDA-approved TIL therapy for melanoma, giving Iovance an uncontested category-leadership position with specific supporting data (91M of the 99.3M Q2 revenue, +51% sequential) [1]. Product Pipeline (1/2): Management references a 'next-generation platform of genetically engineered TIL and IL-2 therapies' and expansion into new solid-tumor indications, but no specific next-gen product was named with a dated launch timeline [2]. R&amp;D Intensity (0/1): No R&amp;D-as-percent-of-revenue disclosure relative to biotech peers was identified in available research.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Inspiration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DC2626"/>
          <w:sz w:val="16"/>
        </w:rPr>
        <w:t xml:space="preserve"> WEAK 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2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102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409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Mission Floor (2/4): Iovance's stated commitment to 'healthcare for cancer patients in need of new treatment options' is clear and patient-centered but reads as standard biotech mission language rather than a distinctively differentiated cause. Community Impact (0/2): Proxy filings reference general diversity and workforce-development commitments, but no specific dollar-figure community programs were identified. Employee Retention (0/2): Glassdoor rates the company 2.5/5 — 29% below the pharma/biotech industry average — with employees citing 'horrible leadership,' confusion between management and staff, and disruptive unilateral changes from upper management [3]. Insider Buying (0/2): No evidence of meaningful net insider buying was identified in available research.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Infrastructure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4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205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307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Mechanically scored on available metrics (Growth weighting). Debt-to-equity of just 6% scores a full 1.0 against the 70% target. Revenue growth YoY of 66% (Q2 2026) scores a full 1.0, capped, against the 10% target — reflecting strong Amtagvi commercial ramp [1]. Return on equity of -40.36% and profit margin of -89.09% are both negative and floor at 0.0, reflecting a company still investing heavily in manufacturing scale-up and commercial infrastructure ahead of full profitability. Forward P/E, PEG, and 5yr revenue CAGR are unavailable/not meaningful for a recently-commercial biotech and were excluded from the weighted calculation. Liquidity is comfortably above the floor: ~17.9M average daily shares at $6.98 implies over $125M in daily dollar volume.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FINITE VS INFINITE GAME — SINEK (25%)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Mindset: </w:t>
      </w:r>
      <w:r>
        <w:rPr>
          <w:rFonts w:ascii="Calibri" w:hAnsi="Calibri"/>
          <w:b/>
          <w:color w:val="B8860B"/>
          <w:sz w:val="22"/>
        </w:rPr>
        <w:t>MIXED</w:t>
      </w:r>
      <w:r>
        <w:rPr>
          <w:rFonts w:ascii="Calibri" w:hAnsi="Calibri"/>
          <w:b w:val="0"/>
          <w:color w:val="6E8450"/>
          <w:sz w:val="22"/>
        </w:rPr>
        <w:t xml:space="preserve">      Overall: </w:t>
      </w:r>
      <w:r>
        <w:rPr>
          <w:rFonts w:ascii="Calibri" w:hAnsi="Calibri"/>
          <w:b/>
          <w:color w:val="B8860B"/>
          <w:sz w:val="28"/>
        </w:rPr>
        <w:t>5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p>
      <w:pPr>
        <w:spacing w:after="120"/>
      </w:pPr>
      <w:r>
        <w:rPr>
          <w:rFonts w:ascii="Calibri" w:hAnsi="Calibri"/>
          <w:b w:val="0"/>
          <w:color w:val="3A4A28"/>
          <w:sz w:val="18"/>
        </w:rPr>
        <w:t>Iovance has genuinely delivered on a patient-focused Just Cause — becoming the first company to bring an FDA-approved TIL cell therapy to market for patients who had exhausted other options — and backed that with a real long-term bet in the form of internal manufacturing capacity built ahead of full commercial demand. That achievement is offset by a clearly troubled internal culture (2.5/5 Glassdoor rating, reports of poor leadership), which keeps this in mixed territory rather than a clean infinite-game exemplar.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Just Cause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2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102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409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Just Cause (2/3): Iovance's purpose of delivering individualized cell therapy to melanoma and solid-tumor patients with no remaining options is genuine and has been validated by real execution — the Amtagvi FDA approval and commercial ramp — but the cause has not yet been tested through a multi-decade cycle or a major crisis, and internal culture concerns suggest it is not uniformly lived at the organizational level [1][3].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Trusting Teams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0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55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5457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Trusting Teams (0/2): Glassdoor reviews describe 'horrible leadership,' confusion between management and employees, and disruptive changes implemented without proper consideration, with an overall rating 29% below the pharma/biotech industry average — clear evidence of a low-trust internal environment [3].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Worthy Rivals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0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55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5457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Worthy Rivals (0/1): No evidence of collaborative or self-improvement-oriented competitive framing toward other cell-therapy or oncology developers was found in available management commentary.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Existential Flexibility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2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102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409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Existential Flexibility (2/2): Iovance transformed itself from a clinical-stage R&amp;D company into a full commercial-stage cell therapy manufacturer — building internal manufacturing infrastructure, acquiring Proleukin, and standing up a commercial treatment-center network — a genuine business-model reinvention driven by the cause of getting Amtagvi to patients [1][2].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Courage To Lead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1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551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961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Courage to Lead (1/2): Iovance made a substantial long-term capital commitment by building internal manufacturing capacity for a novel, unproven-at-scale cell therapy modality ahead of guaranteed commercial demand — a costly bet on long-term capability that is now paying off in the 66% YoY revenue growth, but there is no additional documented pattern of comparable courageous decisions beyond this core bet [1][2].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INVESTMENT THESIS</w:t>
            </w:r>
          </w:p>
        </w:tc>
      </w:tr>
    </w:tbl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Iovance is executing a strong commercial ramp on the strength of Amtagvi, the first FDA-approved TIL cell therapy — Q2 2026 revenue hit a record $99.3M (+66% YoY), with Amtagvi sales up 51% sequentially and gross margin expanding from 41% to 56% as internal manufacturing matures [1]. The company is on track for 110+ active treatment centers by year-end 2026, reaffirmed (and is reviewing upward) its $350-370M full-year revenue guidance, and reports cash runway extending into 2028, giving it room to reach profitability without near-term financing pressure [1]. A clean balance sheet (D/E of just 6%) and category-leading first-mover position in TIL cell therapy support the long-term bull case toward management's stated $1B+ U.S. peak sales assumption.</w:t>
      </w:r>
    </w:p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The bear case centers on continued unprofitability and internal execution risk. ROE of -40.36% and profit margin of -89.09% show the company still burning significant capital as it scales manufacturing and commercial infrastructure, and a Glassdoor rating of 2.5/5 — 29% below the pharma/biotech industry average, with employees citing 'horrible leadership' and management confusion — raises real questions about execution consistency at a critical commercial inflection point [3]. Amtagvi's individualized, manufacturing-intensive delivery model (harvesting a patient's own tumor tissue, expanding cells, and reinfusing) is inherently more complex to scale than a small-molecule drug, and any manufacturing bottleneck or quality issue could disrupt the growth trajectory the current valuation assumes. The company's Excellence sub-scores (Innovation 6, Inspiration 2, Infrastructure 4) reflect genuine commercial progress undercut by weak organizational culture and a balance sheet still dependent on continued execution rather than current profitability.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CATALYSTS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Potential upward revision to full-year 2026 revenue guidance (currently $350-370M) given stronger-than-expected Amtagvi demand trends flagged for a Q3 update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Continued expansion toward 110+ active treatment centers by year-end 2026, broadening patient access and driving volume growth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Gross margin expansion (41% to 56% quarter-over-quarter) as internal manufacturing scale efficiencies continue to mature, supporting the path to profitability within the 2028 cash-runway window [1]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DC2626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RISKS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Continued deep unprofitability (ROE -40.36%, profit margin -89.09%) leaves execution and manufacturing-scale-up risk as the primary determinant of whether cash runway to 2028 proves sufficient [4]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Glassdoor culture data (2.5/5 rating, 'horrible leadership' complaints) signals organizational execution risk at precisely the moment the company needs disciplined commercial scaling [3]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Amtagvi's individualized, patient-specific manufacturing process is inherently more complex and failure-prone to scale than conventional pharmaceuticals, creating capacity and quality-control risk as treatment-center count grows [1][2]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AI RESILIENCE (25%)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AI Resilience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16A34A"/>
          <w:sz w:val="16"/>
        </w:rPr>
        <w:t xml:space="preserve"> LOW RISK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8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4409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102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AI Risk Protection (8/9): Iovance's business — manufacturing individualized, patient-specific TIL cell therapy under FDA regulation, followed by physical infusion in specialized treatment centers — is a physical, clinically-validated, heavily regulated process that AI cannot structurally displace; no analyst commentary was found suggesting AI threatens Iovance's commercial model. AI Opportunity (0/1): No quantified AI-driven revenue, cost savings, or AI-enabled manufacturing/discovery capability was identified, so the tiebreaker point is not awarded.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FAITH ALIGNMENT — INSPIRE INSIGHT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Inspire Impact Score:  </w:t>
      </w:r>
      <w:r>
        <w:rPr>
          <w:rFonts w:ascii="Calibri" w:hAnsi="Calibri"/>
          <w:b/>
          <w:color w:val="16A34A"/>
          <w:sz w:val="28"/>
        </w:rPr>
        <w:t>39</w:t>
      </w:r>
      <w:r>
        <w:rPr>
          <w:rFonts w:ascii="Calibri" w:hAnsi="Calibri"/>
          <w:b/>
          <w:color w:val="B8860B"/>
          <w:sz w:val="20"/>
        </w:rPr>
        <w:t xml:space="preserve">    ALIGNED</w:t>
      </w:r>
    </w:p>
    <w:p>
      <w:pPr>
        <w:spacing w:before="80" w:after="40"/>
      </w:pPr>
      <w:r>
        <w:rPr>
          <w:rFonts w:ascii="Calibri" w:hAnsi="Calibri"/>
          <w:b/>
          <w:color w:val="6E8450"/>
          <w:sz w:val="18"/>
        </w:rPr>
        <w:t xml:space="preserve">Positive: </w:t>
      </w:r>
      <w:r>
        <w:rPr>
          <w:rFonts w:ascii="Calibri" w:hAnsi="Calibri"/>
          <w:b/>
          <w:color w:val="16A34A"/>
          <w:sz w:val="17"/>
        </w:rPr>
        <w:t xml:space="preserve"> Customer Welfare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Data Security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Energy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Ethical Supply Chain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Hiring Ethics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Product Access and Affordability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Regulatory Adherence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Waste and Hazmat Management </w:t>
      </w:r>
    </w:p>
    <w:p>
      <w:pPr>
        <w:spacing w:before="120"/>
      </w:pPr>
      <w:r>
        <w:rPr>
          <w:rFonts w:ascii="Calibri" w:hAnsi="Calibri"/>
          <w:b w:val="0"/>
          <w:color w:val="9DAF88"/>
          <w:sz w:val="15"/>
        </w:rPr>
        <w:t>Source: Inspire Insight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RESOURCES</w:t>
            </w:r>
          </w:p>
        </w:tc>
      </w:tr>
    </w:tbl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1. </w:t>
      </w:r>
      <w:r>
        <w:rPr>
          <w:rFonts w:ascii="Calibri" w:hAnsi="Calibri"/>
          <w:b w:val="0"/>
          <w:color w:val="3A4A28"/>
          <w:sz w:val="17"/>
        </w:rPr>
        <w:t>Iovance Biotherapeutics Q2 2026 Earnings — Record Revenue $99.3M (+66% YoY), Amtagvi Revenue $91M (+51% QoQ), Gross Margin 56%, FY2026 Guidance $350-370M — GlobeNewswire, StockTitan, Yahoo Finance, August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2. </w:t>
      </w:r>
      <w:r>
        <w:rPr>
          <w:rFonts w:ascii="Calibri" w:hAnsi="Calibri"/>
          <w:b w:val="0"/>
          <w:color w:val="3A4A28"/>
          <w:sz w:val="17"/>
        </w:rPr>
        <w:t>Iovance Management Biography and Strategy — Fred Vogt CEO, Manufacturing Build-Out, Next-Gen TIL/IL-2 Pipeline — iovance.com, Wikipedia,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3. </w:t>
      </w:r>
      <w:r>
        <w:rPr>
          <w:rFonts w:ascii="Calibri" w:hAnsi="Calibri"/>
          <w:b w:val="0"/>
          <w:color w:val="3A4A28"/>
          <w:sz w:val="17"/>
        </w:rPr>
        <w:t>Iovance Biotherapeutics Glassdoor Employee Reviews — 2.5/5 Rating, Leadership Concerns — Glassdoor, accessed August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4. </w:t>
      </w:r>
      <w:r>
        <w:rPr>
          <w:rFonts w:ascii="Calibri" w:hAnsi="Calibri"/>
          <w:b w:val="0"/>
          <w:color w:val="3A4A28"/>
          <w:sz w:val="17"/>
        </w:rPr>
        <w:t>StockAnalysis.com — IOVA Key Statistics: Stock Price $6.98, D/E 6%, ROE -40.36%, Profit Margin -89.09%, Avg Volume 17.9M, Employees 975, accessed August 2026</w:t>
      </w:r>
    </w:p>
    <w:p>
      <w:pPr>
        <w:spacing w:before="400"/>
        <w:jc w:val="center"/>
      </w:pPr>
      <w:r>
        <w:rPr>
          <w:rFonts w:ascii="Calibri" w:hAnsi="Calibri"/>
          <w:b w:val="0"/>
          <w:color w:val="9DAF88"/>
          <w:sz w:val="16"/>
        </w:rPr>
        <w:t>Paradiem, LLC dba Intentional Ownership (“IOWN”) is a registered investment advisor. The information provided is for educational and informational purposes only and does not constitute investment advice.</w:t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