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IREN</w:t>
      </w:r>
      <w:r>
        <w:rPr>
          <w:rFonts w:ascii="Calibri" w:hAnsi="Calibri"/>
          <w:b/>
          <w:color w:val="1A2010"/>
          <w:sz w:val="40"/>
        </w:rPr>
        <w:t xml:space="preserve">  IREN Limited</w:t>
      </w:r>
    </w:p>
    <w:p>
      <w:pPr>
        <w:spacing w:after="120"/>
      </w:pPr>
      <w:r>
        <w:rPr>
          <w:rFonts w:ascii="Calibri" w:hAnsi="Calibri"/>
          <w:b/>
          <w:color w:val="6E8450"/>
          <w:sz w:val="18"/>
        </w:rPr>
        <w:t>GROWTH SLEEVE · 2026-08-15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Australia</w:t>
      </w:r>
    </w:p>
    <w:p>
      <w:pPr>
        <w:spacing w:after="80"/>
      </w:pPr>
      <w:r>
        <w:rPr>
          <w:rFonts w:ascii="Calibri" w:hAnsi="Calibri"/>
          <w:b w:val="0"/>
          <w:color w:val="3A4A28"/>
          <w:sz w:val="20"/>
        </w:rPr>
        <w:t>IREN Limited operates a vertically integrated AI Cloud and data center business across Australia, Canada, and the United States, having pivoted from Bitcoin mining to AI infrastructure. The company has secured a $9.7 billion Microsoft cloud contract and is deploying 60,000 NVIDIA GB300 GPUs against a 5 GW grid-connected power portfolio, with annualized revenue from operations approaching $1.25 billion [1][2].</w:t>
      </w:r>
    </w:p>
    <w:p>
      <w:r>
        <w:rPr>
          <w:rFonts w:ascii="Calibri" w:hAnsi="Calibri"/>
          <w:b/>
          <w:color w:val="6E8450"/>
          <w:sz w:val="18"/>
        </w:rPr>
        <w:t>457 Employees · https://iren.com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IREN has continued executing its transformation from Bitcoin miner to AI cloud infrastructure provider, expanding beyond the original $9.7B Microsoft contract with a new 60,000-unit NVIDIA GB300 GPU deployment plan and hiring a wave of senior cloud executives from Oracle, Google, and CyrusOne to build out the full AI stack [1][2]. AI Deployment (2/2): AI cloud services now drive annualized revenue from operations approaching $1.25 billion, with TTM revenue of $757M representing 104.8% YoY growth [1][3]. Market Share (1/2): IREN remains a fast-growing but sub-scale 'neocloud' relative to peers — CoreWeave posted ~$2.6B in quarterly revenue and Nebius grew 454% YoY to $582M in the same period, both dwarfing IREN's ~$136M quarterly run rate, so IREN is a meaningful player but not yet a category leader [2]. Product Pipeline (2/2): The 60,000 GB300 GPU deployment has a specific unit count and a defined revenue target (~$1.25B annualized), giving concrete near-term visibility [2]. R&amp;D Intensity (0/1): IREN's spend remains concentrated in physical infrastructure deployment rather than traditional R&amp;D; no above-industry R&amp;D-to-revenue disclosure was found despite the new Chief Innovation Officer role.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IREN's 'Proceed with Purpose' positioning and 100% renewable-energy-powered data centers is a specific, differentiated stance in an energy-intensive industry, though the rapid two-stage pivot (Bitcoin mining to HPC/AI) still reads as strategically opportunistic rather than a decade-tested purpose [1][4]. Community Impact (1/2): The 100% renewable energy commitment across all facilities and transparent carbon reporting provide genuine environmental benefit relative to industry norms, but no dedicated foundation or charitable dollar figures were identified [4]. Employee Retention (0/2): Headcount more than doubled from roughly 320 in 2023 to over 640 reported in March 2026 as the company scales its AI cloud build-out; rapid hiring growth makes retention/tenure data unavailable and unmeasurable at this stage [2]. Insider Buying (1/2): Co-founders Daniel and Will Roberts remain large individual shareholders and active operators, signaling continued founder alignment, though no specific recent open-market buying transactions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(Forward P/E and Forward PEG excluded — analysts project a swing to an adjusted EPS loss in FY2026, making these metrics not meaningful) [3][5]. D/E of 149% scores 0.66 as GPU and data-center financing continues to build leverage. ROE of 7.73% scores 0.52 (2x weight) — still well below the 15% target as the AI cloud ramp has not yet fully hit the bottom line. Revenue Growth YoY of 104.8% and 3yr Revenue CAGR of ~104% both cap at 1.0 (2x weight on CAGR), reflecting explosive AI cloud revenue growth from $59M (FY2022) to $757M TTM. Profit margin of 20.88% clears the 20% target, scoring 1.0. Weighted sum of 5.69/7 available weight units yields a score of 8. Liquidity is exceptional at ~$2.1B average daily dollar volume (47.75M shares × $44.06), clearing the liquidity floor by a wide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IREN continues to demonstrate exceptional existential flexibility, having fully committed to its AI cloud pivot with an expanded leadership bench of Oracle, Google, and CyrusOne veterans — a meaningful signal of organizational trust and capability-building beyond the founder-led lean structure. The Just Cause remains under-tested, however, as the company's core narrative has now shifted twice in five years and has not yet weathered a full market cycle as an AI infrastructure pure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IREN's 'next-gen data centers for AI, HPC, and sustainable compute' framing combines genuine secular demand with a still-evolving narrative — the company has now recast its core identity twice (Bitcoin mining to HPC/AI cloud) in five years, which cuts against the durability Sinek requires of a true Just Cause, even as the 100% renewable energy commitment differentiates it from peers [1][4].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IREN has moved beyond its ultra-lean founder-only model, hiring a Chief Innovation Officer, Chief Product Officer (ex-Oracle), and Chief Development Officer (ex-Google/CyrusOne) to build out the AI stack — attracting senior talent from hyperscale-caliber companies is strong evidence of an increasingly high-trust, high-caliber organization capable of delegating major infrastructure decisions [2]. Headcount has more than doubled since 2023 without reports of cultural dysfunction or destabilizing turnover.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IREN's public positioning against CoreWeave, Nebius, and Lambda Labs emphasizes its own differentiated power access, renewable energy stance, and execution speed rather than attacking competitors, and management commentary frames larger rivals' scale as validation of the AI infrastructure opportunity rather than a threat to be destroyed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IREN's continued build-out of its AI cloud stack — now anchored by a 60,000-unit NVIDIA GB300 deployment on top of the existing $9.7B Microsoft contract — extends what remains a textbook existential-flexibility pivot from a profitable Bitcoin mining business to AI infrastructure, a transformation Sinek would recognize alongside Apple's Mac-to-iPhone shift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a 60,000-GPU deployment and further leveraging the balance sheet (D/E now 149%) to fund AI infrastructure ahead of proven steady-state profitability requires real conviction, particularly given ROE remains below target at 7.73% [3]. The bet is still substantially de-risked by the anchor Microsoft contract, keeping this at a single point rather than a full pattern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IREN's AI cloud pivot has scaled materially since early 2026 — TTM revenue reached $757M (+104.8% YoY) and management now guides to annualized revenue from operations approaching $1.25B, anchored by the $9.7B Microsoft cloud contract and a new 60,000-unit NVIDIA GB300 GPU deployment [1][2][3]. Profit margin of 20.88% has held up through the scaling phase, and the company has materially deepened its leadership bench with senior hires from Oracle, Google, and CyrusOne, addressing prior concerns about execution capacity with only a few hundred employees. Liquidity is excellent at roughly $2.1B in average daily dollar volume, and the 100% renewable energy positioning provides a durable ESG differentiator versus other neoclouds.</w:t>
      </w:r>
    </w:p>
    <w:p>
      <w:pPr>
        <w:spacing w:after="120"/>
      </w:pPr>
      <w:r>
        <w:rPr>
          <w:rFonts w:ascii="Calibri" w:hAnsi="Calibri"/>
          <w:b w:val="0"/>
          <w:color w:val="3A4A28"/>
          <w:sz w:val="20"/>
        </w:rPr>
        <w:t>The bear case centers on leverage and relative scale. D/E has risen to 149% as GPU and data-center financing accelerates, and ROE of 7.73% remains well below the 15% target, indicating the AI cloud ramp has not yet translated into strong returns on equity [3]. IREN also remains sub-scale next to CoreWeave (~$2.6B quarterly revenue) and Nebius (454% YoY growth to $582M quarterly), meaning it must keep out-executing much larger-balance-sheet rivals to defend its position [2]. Consensus estimates for FY2026 actually project a swing to an adjusted EPS loss, and the stock trades without a meaningful forward P/E anchor, leaving valuation dependent almost entirely on execution against the GB300 deployment timeline and continued customer contract wins beyond Microsoft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60,000 NVIDIA GB300 GPU deployment would push annualized revenue from operations toward the $1.25B target and materially improve ROE as new capacity comes online [2]</w:t>
      </w:r>
    </w:p>
    <w:p>
      <w:pPr>
        <w:spacing w:before="40" w:after="40"/>
        <w:ind w:left="283"/>
      </w:pPr>
      <w:r>
        <w:rPr>
          <w:rFonts w:ascii="Calibri" w:hAnsi="Calibri"/>
          <w:b/>
          <w:color w:val="4A6B25"/>
          <w:sz w:val="20"/>
        </w:rPr>
        <w:t xml:space="preserve">2. </w:t>
      </w:r>
      <w:r>
        <w:rPr>
          <w:rFonts w:ascii="Calibri" w:hAnsi="Calibri"/>
          <w:b w:val="0"/>
          <w:color w:val="3A4A28"/>
          <w:sz w:val="20"/>
        </w:rPr>
        <w:t>Additional hyperscaler or AI-lab contracts beyond Microsoft would diversify customer concentration and validate the vertically integrated AI Cloud platform being built by the newly hired Oracle/Google/CyrusOne leadership team [2]</w:t>
      </w:r>
    </w:p>
    <w:p>
      <w:pPr>
        <w:spacing w:before="40" w:after="40"/>
        <w:ind w:left="283"/>
      </w:pPr>
      <w:r>
        <w:rPr>
          <w:rFonts w:ascii="Calibri" w:hAnsi="Calibri"/>
          <w:b/>
          <w:color w:val="4A6B25"/>
          <w:sz w:val="20"/>
        </w:rPr>
        <w:t xml:space="preserve">3. </w:t>
      </w:r>
      <w:r>
        <w:rPr>
          <w:rFonts w:ascii="Calibri" w:hAnsi="Calibri"/>
          <w:b w:val="0"/>
          <w:color w:val="3A4A28"/>
          <w:sz w:val="20"/>
        </w:rPr>
        <w:t>Continued 5 GW power portfolio buildout and 100% renewable positioning could attract ESG-constrained AI customers as sustainability requirements tighten across the industry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leverage (D/E of 149%) funding the GPU and data-center buildout creates balance-sheet risk if AI cloud revenue growth decelerates before returns on invested capital improve [3]</w:t>
      </w:r>
    </w:p>
    <w:p>
      <w:pPr>
        <w:spacing w:before="40" w:after="40"/>
        <w:ind w:left="283"/>
      </w:pPr>
      <w:r>
        <w:rPr>
          <w:rFonts w:ascii="Calibri" w:hAnsi="Calibri"/>
          <w:b/>
          <w:color w:val="4A6B25"/>
          <w:sz w:val="20"/>
        </w:rPr>
        <w:t xml:space="preserve">2. </w:t>
      </w:r>
      <w:r>
        <w:rPr>
          <w:rFonts w:ascii="Calibri" w:hAnsi="Calibri"/>
          <w:b w:val="0"/>
          <w:color w:val="3A4A28"/>
          <w:sz w:val="20"/>
        </w:rPr>
        <w:t>Scale disadvantage versus CoreWeave and Nebius, both of which posted substantially larger quarterly revenue and/or faster growth in the same period, pressuring IREN's ability to win the largest hyperscaler contracts [2]</w:t>
      </w:r>
    </w:p>
    <w:p>
      <w:pPr>
        <w:spacing w:before="40" w:after="40"/>
        <w:ind w:left="283"/>
      </w:pPr>
      <w:r>
        <w:rPr>
          <w:rFonts w:ascii="Calibri" w:hAnsi="Calibri"/>
          <w:b/>
          <w:color w:val="4A6B25"/>
          <w:sz w:val="20"/>
        </w:rPr>
        <w:t xml:space="preserve">3. </w:t>
      </w:r>
      <w:r>
        <w:rPr>
          <w:rFonts w:ascii="Calibri" w:hAnsi="Calibri"/>
          <w:b w:val="0"/>
          <w:color w:val="3A4A28"/>
          <w:sz w:val="20"/>
        </w:rPr>
        <w:t>Consensus estimates project a swing to an adjusted EPS loss in FY2026, and the absence of a meaningful forward P/E anchor leaves the stock highly sensitive to any execution shortfall on the GB300 deployment timeline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IREN is AI infrastructure — the company owns and operates the physical data centers, power capacity, and GPU clusters that AI workloads depend on, making it structurally immune to AI-driven substitution [1][2]. The 5 GW grid-connected power portfolio and the Microsoft/NVIDIA anchor relationships position IREN as a critical enabler of the AI buildout rather than a target of disruption; the only meaningful exposure is a broad slowdown in hyperscaler AI capex, which would compress growth rather than displace the business model. AI Opportunity (1/1): AI cloud is now the company's primary growth engine, with annualized revenue from operations approaching $1.25B against 104.8% TTM revenue growth, driven by the GB300 GPU deployment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IREN Reports Q2 FY2026 Results, SEC Form 8-K, February 2026</w:t>
      </w:r>
    </w:p>
    <w:p>
      <w:pPr>
        <w:spacing w:before="20" w:after="20"/>
        <w:ind w:left="170"/>
      </w:pPr>
      <w:r>
        <w:rPr>
          <w:rFonts w:ascii="Calibri" w:hAnsi="Calibri"/>
          <w:b/>
          <w:color w:val="4A6B25"/>
          <w:sz w:val="15"/>
        </w:rPr>
        <w:t xml:space="preserve">2. </w:t>
      </w:r>
      <w:r>
        <w:rPr>
          <w:rFonts w:ascii="Calibri" w:hAnsi="Calibri"/>
          <w:b w:val="0"/>
          <w:color w:val="3A4A28"/>
          <w:sz w:val="17"/>
        </w:rPr>
        <w:t>IREN AI Cloud Leadership Expansion — Chief Innovation Officer, Chief Product Officer, Chief Development Officer appointments; TipRanks, StockTitan, IREN Investor Relations,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and Seeking Alpha — IREN key statistics, P/E, PEG, revenue history,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IREN corporate website — 100% renewable energy commitment and 'Proceed with Purpose' positioning,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Culper Research short report on IREN (July 2024) and Bernstein analyst response,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