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IT</w:t>
      </w:r>
      <w:r>
        <w:rPr>
          <w:rFonts w:ascii="Calibri" w:hAnsi="Calibri"/>
          <w:b/>
          <w:color w:val="1A2010"/>
          <w:sz w:val="40"/>
        </w:rPr>
        <w:t xml:space="preserve">  Gartner, Inc.</w:t>
      </w:r>
    </w:p>
    <w:p>
      <w:pPr>
        <w:spacing w:after="120"/>
      </w:pPr>
      <w:r>
        <w:rPr>
          <w:rFonts w:ascii="Calibri" w:hAnsi="Calibri"/>
          <w:b/>
          <w:color w:val="6E8450"/>
          <w:sz w:val="18"/>
        </w:rPr>
        <w:t>GROWTH SLEEVE · 2026-07-27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Gartner, Inc. is the world's leading research and advisory company, serving C-suite leaders and their teams across enterprise functions including IT, finance, HR, legal, marketing, and supply chain. Operates through three segments: Research (subscription-based insights and Magic Quadrant rankings), Conferences (industry events), and Consulting (strategic advisory). Acquired CEB in 2017 to expand beyond IT into all business functions. Founded in 1979, headquartered in Stamford, Connecticut.</w:t>
      </w:r>
    </w:p>
    <w:p>
      <w:r>
        <w:rPr>
          <w:rFonts w:ascii="Calibri" w:hAnsi="Calibri"/>
          <w:b/>
          <w:color w:val="6E8450"/>
          <w:sz w:val="18"/>
        </w:rPr>
        <w:t>18,000 Employees · https://www.gartner.com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Gartner divested its talent assessment and advisory operation in 2025 to sharpen focus on its core subscription research platform, but has not launched transformative new products in the last five years [1]. AI Deployment (1/2): Gartner has integrated AI into research delivery workflows and positioned itself as a leading advisor on enterprise AI strategy with its 'Gartner for AI Leaders' platform serving CIOs deploying AI, but has not disclosed specific AI-driven revenue or cost savings [3]. Market Share (2/2): Gartner's Magic Quadrant is the gold-standard technology evaluation framework used by virtually every Fortune 500 CIO; the company holds dominant share in IT research and advisory with $5.3B in contract value and no comparable pure-play competitor at scale [1]. Product Pipeline (0/2): No next-generation products with specific timelines have been announced; the business model remains subscription research with incremental enhancements. R&amp;D Intensity (0/1): Gartner does not report traditional R&amp;D spending; its research content creation is its core activity but is not benchmarked against 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Gartner's stated purpose is to 'deliver actionable, objective insight that drives smarter decisions and stronger performance on an organization's mission-critical priorities' [3] — clear and functional but interchangeable with any consulting firm and does not articulate a vision of a better future. Community Impact (1/2): Gartner operates community programs including Gartner Gives Back and conference scholarships for emerging leaders, though no specific dollar amounts or distinctive initiatives were identified. Employee Retention (1/2): CEO Gene Hall's 22-year tenure since 2004 demonstrates exceptional leadership continuity, but Glassdoor reviews cite a cultural shift after the 2017 CEB acquisition toward a 'systematized, procedural research model' that alienated research talent [4]. Insider Buying (0/2): Insiders have been net sellers of $111 million in the last 12 months, with CEO Hall personally selling $17.2M in shares in September 2024 and $10M in November 2024 [5] — a clear signal of insider distribution, not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Gartner's financial profile shows exceptional valuation with Forward P/E of 9.98 and PEG of 0.67, reflecting the market's severe AI-disruption discount on a subscription research business [2]. ROE of 94.88% is inflated by near-zero stockholders' equity from $535M in Q1 2026 share repurchases alone, but the capital efficiency is genuine with $1.26B TTM free cash flow on $6.47B revenue [1]. D/E ratio of 5,293% is technically extreme but reflects the buyback-depleted equity base rather than unsustainable leverage; actual net debt is approximately $2.5B against $1.26B annual FCF at 2.0x leverage [1]. Revenue declined 1.5% YoY in Q1 2026 as reported, though adjusted revenue excluding divested operations grew 1.6% [1]. Profit margin of 11.44% is below the 20% target. Five-year revenue CAGR of approximately 9.2% reflects steady compounding from the CEB integration.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Gartner under Gene Hall operates as a highly efficient subscription machine optimized for free cash flow generation and share buybacks ($535M in Q1 2026 alone), but lacks a Just Cause beyond commercial dominance. The 22-year CEO tenure provides stability, but the post-CEB cultural shift toward systematized research and aggressive financial engineering signal a company playing to win quarters, not to build something enduring. The $111M in insider selling over 12 months undermines the long-term conviction narrative.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Gartner's purpose of delivering 'actionable, objective insight' is a business description, not a Just Cause [3]. There is no articulated vision of a future state that transcends the company's commercial interests. Strategic decisions — the CEB acquisition, subsequent divestitures, aggressive buybacks — are driven by financial optimization rather than a purpose beyond profit. The Magic Quadrant franchise has institutional value but serves vendor marketing as much as genuine buyer enlightenment.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Gene Hall's 22-year CEO tenure and stable executive team provide organizational consistency. However, Glassdoor reviews describe a cultural deterioration after the CEB acquisition, with the company shifting from 'an inspiring group of the brightest minds' to a 'systematized, procedural research model' that diminished analyst autonomy [4]. The tension between Hall's top-down efficiency focus and the creative, relationship-driven nature of research advisory suggests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Gartner operates with a near-monopoly mindset in IT research, frequently positioning itself as the definitive authority rather than acknowledging competitors' strengths. The company's competitive language centers on market dominance rather than self-improvement, and the lack of a credible pure-play rival reinforces insularity rather than the productive tension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CEB acquisition represented meaningful strategic expansion — Gartner transformed from an IT-only research firm into a cross-functional enterprise advisory platform covering finance, HR, legal, marketing, and supply chain. That is a genuine business model evolution. However, the company has not demonstrated willingness to cannibalize its subscription model in response to the AI disruption that is clearly pressuring growth, suggesting rigidity when it matters most.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$3.8B CEB acquisition in 2017 was a bold bet to expand beyond IT into all enterprise functions, and the recent divestiture of the talent assessment operation shows willingness to prune for strategic focus [1]. However, the massive share repurchase program at $535M in Q1 alone while facing existential AI disruption suggests leadership is prioritizing financial engineering over reinvestment in the business's long-term defensibility.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Gartner is the undisputed global leader in IT research and advisory, generating $1.26B in TTM free cash flow on $6.47B revenue with a subscription model that delivers 78.2% Insights contribution margins [1]. At 9.98x forward earnings and 0.67 PEG, the stock trades at deep-value levels rarely seen for a high-quality franchise, with aggressive capital returns — $535M in Q1 buybacks alone — driving 17.3% EPS growth despite flat revenue [1][2]. Contract value of $5.3B provides multi-year revenue visibility, and the company's institutional relationships with Fortune 500 CIOs represent a difficult-to-replicate distribution advantage. The Magic Quadrant remains the most influential technology evaluation framework in enterprise IT.</w:t>
      </w:r>
    </w:p>
    <w:p>
      <w:pPr>
        <w:spacing w:after="120"/>
      </w:pPr>
      <w:r>
        <w:rPr>
          <w:rFonts w:ascii="Calibri" w:hAnsi="Calibri"/>
          <w:b w:val="0"/>
          <w:color w:val="3A4A28"/>
          <w:sz w:val="20"/>
        </w:rPr>
        <w:t>The existential question is whether generative AI structurally erodes demand for Gartner's subscription research. The stock's 60.75% decline over the past year reflects market consensus that LLM-powered analysis tools will substitute for Gartner's core offering of technology synthesis and vendor evaluation [2]. Contract value growth of just 1.0% FX-neutral is the weakest on record, and Global Technology Sales CV grew only 0.4%, suggesting early-stage demand erosion in the core IT segment [1]. Insiders including CEO Hall have been net sellers of $111M in 12 months, undermining confidence in the long-term story [5]. The Consulting segment declined 14.7%, signaling that discretionary advisory spend is already being redirected. If contract value growth turns negative, the subscription flywheel that generates Gartner's premium free cash flow will reverse rapidly.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Contract value growth reaccelerating above 5% FX-neutral as enterprises realize LLMs cannot replace Gartner's proprietary benchmarking data and peer-validated insights</w:t>
      </w:r>
    </w:p>
    <w:p>
      <w:pPr>
        <w:spacing w:before="40" w:after="40"/>
        <w:ind w:left="283"/>
      </w:pPr>
      <w:r>
        <w:rPr>
          <w:rFonts w:ascii="Calibri" w:hAnsi="Calibri"/>
          <w:b/>
          <w:color w:val="4A6B25"/>
          <w:sz w:val="20"/>
        </w:rPr>
        <w:t xml:space="preserve">2. </w:t>
      </w:r>
      <w:r>
        <w:rPr>
          <w:rFonts w:ascii="Calibri" w:hAnsi="Calibri"/>
          <w:b w:val="0"/>
          <w:color w:val="3A4A28"/>
          <w:sz w:val="20"/>
        </w:rPr>
        <w:t>Successful monetization of AI advisory demand through dedicated AI-leader subscription products, converting the disruption threat into a revenue growth driver</w:t>
      </w:r>
    </w:p>
    <w:p>
      <w:pPr>
        <w:spacing w:before="40" w:after="40"/>
        <w:ind w:left="283"/>
      </w:pPr>
      <w:r>
        <w:rPr>
          <w:rFonts w:ascii="Calibri" w:hAnsi="Calibri"/>
          <w:b/>
          <w:color w:val="4A6B25"/>
          <w:sz w:val="20"/>
        </w:rPr>
        <w:t xml:space="preserve">3. </w:t>
      </w:r>
      <w:r>
        <w:rPr>
          <w:rFonts w:ascii="Calibri" w:hAnsi="Calibri"/>
          <w:b w:val="0"/>
          <w:color w:val="3A4A28"/>
          <w:sz w:val="20"/>
        </w:rPr>
        <w:t>Continued aggressive buybacks ($600M new authorization in April 2026) driving 15%+ annual EPS growth even on flat revenue, supported by a 13.4% free cash flow yield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tools delivering technology synthesis that directly substitutes for Gartner's subscription research, accelerating contract value growth deceleration below 1% and potentially turning negative</w:t>
      </w:r>
    </w:p>
    <w:p>
      <w:pPr>
        <w:spacing w:before="40" w:after="40"/>
        <w:ind w:left="283"/>
      </w:pPr>
      <w:r>
        <w:rPr>
          <w:rFonts w:ascii="Calibri" w:hAnsi="Calibri"/>
          <w:b/>
          <w:color w:val="4A6B25"/>
          <w:sz w:val="20"/>
        </w:rPr>
        <w:t xml:space="preserve">2. </w:t>
      </w:r>
      <w:r>
        <w:rPr>
          <w:rFonts w:ascii="Calibri" w:hAnsi="Calibri"/>
          <w:b w:val="0"/>
          <w:color w:val="3A4A28"/>
          <w:sz w:val="20"/>
        </w:rPr>
        <w:t>CEO Gene Hall's $111M in insider sales over 12 months signals potential leadership transition risk after 22 years, with no visible succession plan articulated publicly</w:t>
      </w:r>
    </w:p>
    <w:p>
      <w:pPr>
        <w:spacing w:before="40" w:after="40"/>
        <w:ind w:left="283"/>
      </w:pPr>
      <w:r>
        <w:rPr>
          <w:rFonts w:ascii="Calibri" w:hAnsi="Calibri"/>
          <w:b/>
          <w:color w:val="4A6B25"/>
          <w:sz w:val="20"/>
        </w:rPr>
        <w:t xml:space="preserve">3. </w:t>
      </w:r>
      <w:r>
        <w:rPr>
          <w:rFonts w:ascii="Calibri" w:hAnsi="Calibri"/>
          <w:b w:val="0"/>
          <w:color w:val="3A4A28"/>
          <w:sz w:val="20"/>
        </w:rPr>
        <w:t>17.85% short interest reflects deep institutional skepticism about the AI disruption thesis, creating amplified selling pressure if contract value or guidance deteriorates further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Gartner faces meaningful AI substitution risk as its core business — synthesizing technology research and delivering analyst advisory — competes directly with generative AI tools that can produce analysis at near-zero marginal cost. Glassdoor reviewers note the company is 'struggling as a business due to AI innovation' [4], and the 60.75% decline in share price over the past year reflects market pricing of structural disruption [2]. However, Gartner's proprietary peer benchmarking data from thousands of enterprises, analyst relationships with CIOs, and the institutional credibility of the Magic Quadrant brand create defensive moats that AI tools cannot easily replicate [1]. Contract value grew only 1.0% FX-neutral, the weakest in years, suggesting early demand erosion. AI Opportunity (1/1): Gartner generates meaningful revenue from AI advisory services through its 'Gartner for AI Leaders' platform, AI-specific research subscriptions, and AI-focused conference tracks, directly monetizing the disruption wave that threatens its traditional model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Gartner Q1 2026 Earnings Release — investor.gartner.com, May 5,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IT Key Statistics and Valuation Metrics,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Gartner.com — Corporate Mission, AI Leadership Products, and Research Platform,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Glassdoor — Gartner Employee Reviews and Culture Assessment,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GuruFocus / Benzinga — Gartner Insider Trading Activity (CEO Eugene Hall),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