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KEY</w:t>
      </w:r>
      <w:r>
        <w:rPr>
          <w:rFonts w:ascii="Calibri" w:hAnsi="Calibri"/>
          <w:b/>
          <w:color w:val="1A2010"/>
          <w:sz w:val="40"/>
        </w:rPr>
        <w:t xml:space="preserve">  KeyCorp</w:t>
      </w:r>
    </w:p>
    <w:p>
      <w:pPr>
        <w:spacing w:after="120"/>
      </w:pPr>
      <w:r>
        <w:rPr>
          <w:rFonts w:ascii="Calibri" w:hAnsi="Calibri"/>
          <w:b/>
          <w:color w:val="6E8450"/>
          <w:sz w:val="18"/>
        </w:rPr>
        <w:t>DIVIDEND SLEEVE · 2026-08-13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KeyCorp is one of the nation's largest bank-based financial services companies, with approximately $191 billion in assets. Operating through its KeyBank National Association subsidiary, the company provides retail and commercial banking, investment management, consumer finance, commercial mortgage servicing, and investment banking services across approximately 1,000 branches in 15 states, primarily in the Midwest and Northeast. KeyCorp received a $2.8 billion strategic minority investment from Scotiabank in 2024. Headquartered in Cleveland, Ohio.</w:t>
      </w:r>
    </w:p>
    <w:p>
      <w:r>
        <w:rPr>
          <w:rFonts w:ascii="Calibri" w:hAnsi="Calibri"/>
          <w:b/>
          <w:color w:val="6E8450"/>
          <w:sz w:val="18"/>
        </w:rPr>
        <w:t>18,000 Employees · https://www.key.com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KeyCorp secured a transformative $2.8 billion strategic minority investment from Scotiabank in 2024, providing growth capital and a strategic partner, but the core banking model remains fundamentally unchanged over five years [1]. Revenue grew 10% YoY in Q1 2026 and 6.7% in Q2, reflecting a cyclical recovery rather than product innovation [1]. AI Deployment (1/2): KeyBank deployed 'MyKey,' a conversational AI assistant built on Google Cloud technology in 2022, providing real-time financial knowledge to customer service agents [2]. NiCE Actimize X-Sight AI platform modernized financial crime operations in 2025 [2]. Cognitive banking partnership with Personetics offers AI-driven consumer engagement. However, no specific AI revenue or quantified cost savings have been disclosed. Market Share (0/2): KeyCorp is approximately the 25th largest U.S. bank by assets, a meaningful regional player but not a category leader or fastest share gainer. Product Pipeline (0/2): Digital banking enhancements underway but no specific next-generation products with launch dates and revenue visibility. R&amp;D Intensity (1/1): Technology and operations spending of approximately $900 million in 2025, increasing by $100 million in 2026, represents above-average technology investment for a regional bank at roughly 12% of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KeyCorp's purpose of 'helping clients and communities thrive by offering financial expertise and tailored solutions' is generic and interchangeable with virtually any bank in America [2]. Community Impact (1/2): KeyCorp is a founding member of the White House Economic Opportunity Coalition and placed $50 million in deposits with Community Development Financial Institutions and Minority Deposit Institutions [3]. The company committed to financing or facilitating $38 billion to address climate change, deploying nearly $5 billion in 2023 [3]. These are meaningful but fairly standard for a major bank. Employee Retention (0/2): No specific employee retention data, average tenure statistics, or voluntary turnover metrics identified for KeyCorp. Insider Buying (0/2): KeyCorp announced a $1.3 billion share repurchase program for 2026 and completed nearly $400 million in Q1 [1], but these are corporate buybacks, not personal insider purchases. No evidence of meaningful net insider buying by CEO Gorman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Conservative balance sheet with D/E of 74%, near the 70% target [4]. ROE of 9.98% is below the 15% target but positive and improving with 33% EPS growth in Q1 2026 [1]. Revenue growth of 8% YoY meets guidance of 7-8% for full year 2026, approaching the 10% target [1]. Five-year revenue CAGR of 2.4% lags the 10% target, reflecting banking cyclicality through the 2022-2023 rate shock. Forward P/E of 12.43 is well below the 20 target [4]. Net profit margin of 26.1% exceeds the 20% target [4]. Dividend profile anchors the score: 32 consecutive years of payments and 15 consecutive years of growth both exceed the 10-year targets, with payout ratio of 44.6% near the 40% target [4]. Five-year dividend growth CAGR of approximately 2.1% trails the 6% target as growth decelerated after rapid increases from a low post-financial-crisis base. Net interest income grew 9% YoY with full-year guidance raised to 9-11%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KeyCorp demonstrates adequate institutional stability — 200 years of continuous operation and 15 consecutive years of dividend growth — but lacks a distinctive Just Cause or evidence of courage-driven leadership decisions. CEO Christopher Gorman's priorities explicitly center on 'delivering shareholder value' rather than articulating a higher purpose. The company's competitive language focuses on financial metrics and market positioning rather than purpose-driven advancement. The 200-year history demonstrates survivability but the current leadership orientation is firmly 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KeyCorp's purpose of 'helping clients and communities thrive' is standard banking rhetoric — it describes what every bank says it does rather than articulating a distinctive vision of a better future [2]. CEO Gorman frames his priorities around 'delivering shareholder value' and 'keeping the client experience central,' which are finite game objectives. The 200-year history since 1825 demonstrates institutional persistence but the current leadership does not reference a compelling cause in strategic communications.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KeyCorp maintains approximately 18,000 employees across a stable organizational structure. CEO Gorman has led the company since 2020, providing reasonable leadership continuity [2]. The company emphasizes diversity and inclusion initiatives and unconscious bias training [3]. However, no specific employee retention data, voluntary turnover statistics, or cultural indicators were identified that would suggest an exceptionally high-trust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KeyCorp's competitive language, as evidenced in earnings calls and corporate materials, centers on financial performance metrics — EPS growth, net interest income, and return targets — rather than learning from competitors' strengths or using rivalry as motivation for self-improvement [1]. No evidence of management publicly acknowledging competitors' advantages or framing competition as motivation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KeyCorp has adapted incrementally over its 200-year history, most recently through the $2.8 billion Scotiabank strategic minority investment in 2024 that brought international partnership capabilities and growth capital [1]. The company increased technology investment by $100 million to about $900 million, signaling adaptation to digital banking trends [2]. However, the core business model — deposit-taking, lending, and fee-based services through physical branches —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accept a $2.8 billion strategic minority investment from Scotiabank in 2024 demonstrated willingness to bring in an outside partner and dilute ownership for long-term strategic benefit. The $100 million increase in technology investment during a period of earnings recovery shows some prioritization of long-term capability [2]. However, no examples of sacrificing near-term earnings for long-term capability or making strategically painful decisions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KeyCorp delivered strong Q1 2026 results with net income of $486 million ($0.44 EPS), up 33% YoY, followed by Q2 net income of $472 million, up 26% YoY, on total revenue growth of 7-10% driven by a 9% increase in net interest income [1]. Full-year guidance was raised to 7-8% revenue growth and 9-11% net interest income growth. The balance sheet is well-capitalized with D/E of 74%, and the dividend profile is attractive: 3.97% yield, 32 consecutive years of payments, 15 consecutive years of growth, and a sustainable 44.6% payout ratio [4]. The $2.8 billion Scotiabank strategic investment provides growth capital and partnership opportunities. At 12.4x forward earnings, KEY trades at a meaningful discount to the banking sector median, with $1.3 billion in planned 2026 share repurchases providing additional shareholder returns [1].</w:t>
      </w:r>
    </w:p>
    <w:p>
      <w:pPr>
        <w:spacing w:after="120"/>
      </w:pPr>
      <w:r>
        <w:rPr>
          <w:rFonts w:ascii="Calibri" w:hAnsi="Calibri"/>
          <w:b w:val="0"/>
          <w:color w:val="3A4A28"/>
          <w:sz w:val="20"/>
        </w:rPr>
        <w:t>The bear case centers on KEY's structural limitations: five-year revenue CAGR of just 2.4% reflects the regional banking sector's slow-growth reality, and ROE of 9.98% meaningfully trails the 15% target and lags money-center banks [4]. Dividend growth has decelerated sharply from double-digit rates to approximately 2% annually over the past five years, undermining the income growth thesis. The company lacks a distinctive competitive moat — it is neither the largest bank (scale advantage) nor the most innovative (technology advantage) in any market it serves. Rising credit losses from commercial real estate exposure remain a risk as office vacancy rates stay elevated. AI-driven automation of banking services creates gradual but persistent pressure on the labor-intensive service model. The Scotiabank investment, while strategic, diluted existing shareholders and the partnership's long-term value remains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Net interest income growth of 9-11% in 2026 driven by expanding net interest margin as rate environment stabilizes, with potential for further NIM expansion if the Fed cuts rates</w:t>
      </w:r>
    </w:p>
    <w:p>
      <w:pPr>
        <w:spacing w:before="40" w:after="40"/>
        <w:ind w:left="283"/>
      </w:pPr>
      <w:r>
        <w:rPr>
          <w:rFonts w:ascii="Calibri" w:hAnsi="Calibri"/>
          <w:b/>
          <w:color w:val="4A6B25"/>
          <w:sz w:val="20"/>
        </w:rPr>
        <w:t xml:space="preserve">2. </w:t>
      </w:r>
      <w:r>
        <w:rPr>
          <w:rFonts w:ascii="Calibri" w:hAnsi="Calibri"/>
          <w:b w:val="0"/>
          <w:color w:val="3A4A28"/>
          <w:sz w:val="20"/>
        </w:rPr>
        <w:t>Share repurchase program of at least $1.3 billion in 2026 providing approximately 6% buyback yield at current market cap, directly enhancing EPS growth trajectory</w:t>
      </w:r>
    </w:p>
    <w:p>
      <w:pPr>
        <w:spacing w:before="40" w:after="40"/>
        <w:ind w:left="283"/>
      </w:pPr>
      <w:r>
        <w:rPr>
          <w:rFonts w:ascii="Calibri" w:hAnsi="Calibri"/>
          <w:b/>
          <w:color w:val="4A6B25"/>
          <w:sz w:val="20"/>
        </w:rPr>
        <w:t xml:space="preserve">3. </w:t>
      </w:r>
      <w:r>
        <w:rPr>
          <w:rFonts w:ascii="Calibri" w:hAnsi="Calibri"/>
          <w:b w:val="0"/>
          <w:color w:val="3A4A28"/>
          <w:sz w:val="20"/>
        </w:rPr>
        <w:t>Scotiabank strategic partnership unlocking cross-border commercial banking opportunities and international capabilities for middle-market clients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real estate loan concentration creates credit risk as office vacancy rates remain elevated at 20%+ nationally, with potential for increased loan loss provisions</w:t>
      </w:r>
    </w:p>
    <w:p>
      <w:pPr>
        <w:spacing w:before="40" w:after="40"/>
        <w:ind w:left="283"/>
      </w:pPr>
      <w:r>
        <w:rPr>
          <w:rFonts w:ascii="Calibri" w:hAnsi="Calibri"/>
          <w:b/>
          <w:color w:val="4A6B25"/>
          <w:sz w:val="20"/>
        </w:rPr>
        <w:t xml:space="preserve">2. </w:t>
      </w:r>
      <w:r>
        <w:rPr>
          <w:rFonts w:ascii="Calibri" w:hAnsi="Calibri"/>
          <w:b w:val="0"/>
          <w:color w:val="3A4A28"/>
          <w:sz w:val="20"/>
        </w:rPr>
        <w:t>Five-year dividend growth CAGR of 2.1% significantly trails inflation, eroding real income value for dividend investors despite the attractive current yield of 3.97%</w:t>
      </w:r>
    </w:p>
    <w:p>
      <w:pPr>
        <w:spacing w:before="40" w:after="40"/>
        <w:ind w:left="283"/>
      </w:pPr>
      <w:r>
        <w:rPr>
          <w:rFonts w:ascii="Calibri" w:hAnsi="Calibri"/>
          <w:b/>
          <w:color w:val="4A6B25"/>
          <w:sz w:val="20"/>
        </w:rPr>
        <w:t xml:space="preserve">3. </w:t>
      </w:r>
      <w:r>
        <w:rPr>
          <w:rFonts w:ascii="Calibri" w:hAnsi="Calibri"/>
          <w:b w:val="0"/>
          <w:color w:val="3A4A28"/>
          <w:sz w:val="20"/>
        </w:rPr>
        <w:t>Intensifying fintech competition from AI-powered digital banks compressing fee income and threatening the deposit franchise, particularly among younger demographics shifting to mobile-first banking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a heavily regulated industry with significant barriers to entry — FDIC insurance, OCC charter requirements, state banking regulations, and capital adequacy standards create structural moats that AI-powered fintech competitors cannot easily replicate [4]. Customer deposit relationships are sticky, and the physical branch network serves customers who require in-person service. However, AI creates genuine substitution risk for several banking functions: loan underwriting, customer service, fraud detection, and back-office processing could be partially automated by AI tools, and fintech competitors like SoFi, Chime, and neobanks are leveraging AI to compete for deposits and lending volume. KeyCorp is investing proactively in AI through its MyKey assistant, NiCE Actimize platform, and $900M+ technology budget, which provides some defensive positioning [2]. The regulatory moat and deposit franchise are protected, but the labor-intensive service model faces gradual AI-driven efficiency pressure. AI Opportunity (0/1): KeyCorp uses AI internally for customer service, fraud detection, and cognitive banking, but does not generate meaningful external AI revenue from products or services sold to third parties.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KeyCorp Q1 and Q2 2026 Earnings Releases and Full-Year Guidance — investor.key.com, Yahoo Finance, StockTitan, April-July 2026</w:t>
      </w:r>
    </w:p>
    <w:p>
      <w:pPr>
        <w:spacing w:before="20" w:after="20"/>
        <w:ind w:left="170"/>
      </w:pPr>
      <w:r>
        <w:rPr>
          <w:rFonts w:ascii="Calibri" w:hAnsi="Calibri"/>
          <w:b/>
          <w:color w:val="4A6B25"/>
          <w:sz w:val="15"/>
        </w:rPr>
        <w:t xml:space="preserve">2. </w:t>
      </w:r>
      <w:r>
        <w:rPr>
          <w:rFonts w:ascii="Calibri" w:hAnsi="Calibri"/>
          <w:b w:val="0"/>
          <w:color w:val="3A4A28"/>
          <w:sz w:val="17"/>
        </w:rPr>
        <w:t>KeyCorp AI Innovation (MyKey Assistant, NiCE Actimize), Digital Strategy, and Leadership — PYMNTS.com, American Banker, BusinessWire, key.com,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KeyCorp ESG Report, Community Initiatives, and Diversity Programs — CSRWire, KnowESG, key.com,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KeyCorp (KEY) Financial Statistics and Valuation — StockAnalysis.com, Yahoo Finance, GuruFocus, Morningstar,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