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KGS</w:t>
      </w:r>
      <w:r>
        <w:rPr>
          <w:rFonts w:ascii="Calibri" w:hAnsi="Calibri"/>
          <w:b/>
          <w:color w:val="1A2010"/>
          <w:sz w:val="40"/>
        </w:rPr>
        <w:t xml:space="preserve">  Kodiak Gas Services, Inc.</w:t>
      </w:r>
    </w:p>
    <w:p>
      <w:pPr>
        <w:spacing w:after="120"/>
      </w:pPr>
      <w:r>
        <w:rPr>
          <w:rFonts w:ascii="Calibri" w:hAnsi="Calibri"/>
          <w:b/>
          <w:color w:val="6E8450"/>
          <w:sz w:val="18"/>
        </w:rPr>
        <w:t>GROWTH SLEEVE · 2026-07-27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Kodiak Gas Services is the largest independent contract compression services provider in the United States, operating approximately 4.8 million horsepower of natural gas compression equipment across major U.S. basins and internationally. Following the April 2024 CSI Compressco acquisition and the 2026 Distributed Power Solutions (DPS) acquisition, Kodiak has expanded into power infrastructure serving data centers and microgrids. Headquartered in The Woodlands, Texas; IPO'd June 2023.</w:t>
      </w:r>
    </w:p>
    <w:p>
      <w:r>
        <w:rPr>
          <w:rFonts w:ascii="Calibri" w:hAnsi="Calibri"/>
          <w:b/>
          <w:color w:val="6E8450"/>
          <w:sz w:val="18"/>
        </w:rPr>
        <w:t>1,300 Employees · https://www.kodiakgas.com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Kodiak completed two transformative acquisitions — CSI Compressco in April 2024 (roughly doubling fleet to ~4.8M HP and adding international operations) and Distributed Power Solutions (DPS) in 2026, launching the new Power Infrastructure segment targeting data centers and microgrids [1]. These represent significant business model expansion beyond core compression. AI Deployment (0/2): No evidence of AI deployment or AI-powered products. The company focuses on operational technology rather than AI solutions [3]. Market Share (2/2): Kodiak is the largest independent contract compression services provider in the U.S., with Q1 2026 Contract Services revenue hitting a record $307.0M (up 6.2% YoY) and 70.6% adjusted gross margin demonstrating pricing power and market dominance [1]. Product Pipeline (1/2): The Power Infrastructure segment launched with $95-125M in 2026 revenue guidance at 60-70% adjusted gross margins, with capacity expansion plans for data center and microgrid power generation [1]. R&amp;D Intensity (0/1): As an energy services company, R&amp;D investment is below technology sector averages; the company does not disclose R&amp;D spending separately.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Kodiak's leadership emphasizes investing in people as the foundation of service quality, with CEO McKee's transparency about the company's future direction creating employee alignment [3]. The purpose — delivering reliable compression services to enable domestic energy production — is clear and connects to energy security, but is not deeply distinctive or aspirational beyond operational excellence. Community Impact (1/2): Hart Energy ESG Top Performer Award recognition and sustainability commitment through EcoView GHG monitoring system demonstrate commitment to responsible operations, though specific charitable program dollar amounts are not disclosed [3]. Employee Retention (2/2): Named a 'Most Loved Workplace' with employees citing positive vision for the future and transparent leadership. CEO Mickey McKee has led since founding the company in 2010 (16-year tenure), and the family-focused culture with dedicated CHRO indicates organizational investment in people [3]. Insider Buying (1/2): Founder/CEO McKee has significant equity alignment through 16 years of leadership and ownership, though no specific recent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history &lt;5 years; IPO June 2023). Revenue growth has been exceptional with a 4-year CAGR of 20.1%, scoring at the maximum [1][2]. Forward PEG of 0.23 indicates outstanding value relative to growth trajectory, scoring at maximum (2x weight) [2]. Weaknesses include D/E of 238.24%, reflecting capital-intensive compression fleet and DPS acquisition financing (score 0.27), and thin profitability with 5.77% ROE (score 0.39) and 5.84% profit margin (score 0.29) due to heavy depreciation and interest expense [2]. Forward P/E of 26.43 scores 0.84 — above the 20 target but justified by the power infrastructure growth opportunity. Q1 2026 delivered record Adj. EBITDA of $190.1M (up 7% YoY) with 2026 guidance raised to $820-860M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Kodiak demonstrates meaningful qualities through founder-led continuity, employee-centric culture, and strategic acquisitions that build long-term infrastructure capability. CEO McKee's 16-year tenure since founding and the deliberate culture-building signal long-horizon thinking. However, the company's young public history (IPO June 2023) limits evidence of endurance through adversity, and the acquisitive growth strategy emphasizes scale over transformative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Kodiak's purpose of enabling safe, reliable natural gas production and transportation is genuine and connected to energy security — a critical societal need validated by rising global energy demand and the AI data center buildout [1][3]. CEO McKee has led the company since its 2010 founding, demonstrating 16 years of consistent strategic direction. The sustainability commitment and EcoView GHG investment show awareness beyond pure profitability. However, the purpose is operational and infrastructure-focused rather than transformative.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Most Loved Workplace recognition, family-focused culture, and dedicated CHRO suggest genuine organizational investment in people [3]. CEO McKee's 16-year tenure provides leadership stability, and the emphasis on 'deep commitment and talent' as a core strategy signals that employee trust is a priority. However, the rapid growth through acquisitions (CSI Compressco roughly doubled the workforce) creates cultural integration challenges.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Kodiak's competitive positioning emphasizes being the 'largest independent' provider and achieving 'record' financial results rather than learning from rivals' strengths [1][3]. No evidence of management publicly acknowledging or learning from competitors'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DPS acquisition represents a meaningful strategic expansion from pure compression services into distributed power generation, targeting data centers and microgrids — an adjacent market driven by AI and electrification trends [1]. The CSI Compressco deal expanded from domestic to international operations. These are meaningful adjacency moves that build on core capabilities, though the core business remains natural gas compression.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DPS acquisition and entry into power infrastructure represent a meaningful strategic bet — expanding from pure compression into data center and microgrid power generation during an evolving energy landscape [1]. Taking on $2.6B+ in debt to execute CSI Compressco and then the $675M DPS deal required capital allocation conviction. CEO McKee has consistently invested in fleet growth and acquisitions to build scale, prioritizing long-term market leadership over short-term deleveraging.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Kodiak Gas Services is the dominant U.S. contract compression platform with a powerful dual-growth engine. Q1 2026 delivered record Adj. EBITDA of $190.1M (up 7% YoY) with Contract Services margins of 70.6%, demonstrating exceptional operational leverage [1]. The DPS acquisition, now closed, launches a Power Infrastructure segment with $95-125M in 2026 revenue at 60-70% margins, diversifying beyond compression into AI data center and microgrid power generation [1]. The PEG of 0.23 at a ~$5.2B market cap suggests significant undervaluation relative to the 20%+ revenue CAGR trajectory, and 2026 EBITDA guidance was raised to $820-860M with discretionary cash flow of $520-570M [1][2]. Natural gas compression is essential infrastructure benefiting from both LNG export growth and AI-driven electricity demand.</w:t>
      </w:r>
    </w:p>
    <w:p>
      <w:pPr>
        <w:spacing w:after="120"/>
      </w:pPr>
      <w:r>
        <w:rPr>
          <w:rFonts w:ascii="Calibri" w:hAnsi="Calibri"/>
          <w:b w:val="0"/>
          <w:color w:val="3A4A28"/>
          <w:sz w:val="20"/>
        </w:rPr>
        <w:t>Primary risks center on the capital-intensive business model. D/E of 238.24% reflects heavy equipment financing and DPS acquisition debt, creating vulnerability if natural gas prices decline or customer utilization rates fall [2]. Profit margins of 5.84% and ROE of 5.77% are thin for a company trading at 89.9x trailing earnings, meaning profitability needs significant improvement to justify the valuation without continued growth [2]. The trailing PE of 89.9x vs forward PE of 26.43x implies heavy reliance on forward earnings acceleration from the Power Infrastructure ramp. The stock declined 18.7% in July 2026 from $75.31 to $61.10, indicating market concern about execution or macro factors [2]. Long-term secular risk from energy transition could reduce natural gas demand over a 10+ year horizon, though near-term demand is supported by AI data center buildouts.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Power Infrastructure segment scaling beyond $125M in revenue as AI data center demand accelerates, with 60-70% margins contributing meaningfully to earnings growth and diversifying the revenue base [1]</w:t>
      </w:r>
    </w:p>
    <w:p>
      <w:pPr>
        <w:spacing w:before="40" w:after="40"/>
        <w:ind w:left="283"/>
      </w:pPr>
      <w:r>
        <w:rPr>
          <w:rFonts w:ascii="Calibri" w:hAnsi="Calibri"/>
          <w:b/>
          <w:color w:val="4A6B25"/>
          <w:sz w:val="20"/>
        </w:rPr>
        <w:t xml:space="preserve">2. </w:t>
      </w:r>
      <w:r>
        <w:rPr>
          <w:rFonts w:ascii="Calibri" w:hAnsi="Calibri"/>
          <w:b w:val="0"/>
          <w:color w:val="3A4A28"/>
          <w:sz w:val="20"/>
        </w:rPr>
        <w:t>Compression fleet expansion and utilization improvements driving organic EBITDA growth toward the $820-860M 2026 guidance range, with potential for further guidance increases as DPS synergies mature [1]</w:t>
      </w:r>
    </w:p>
    <w:p>
      <w:pPr>
        <w:spacing w:before="40" w:after="40"/>
        <w:ind w:left="283"/>
      </w:pPr>
      <w:r>
        <w:rPr>
          <w:rFonts w:ascii="Calibri" w:hAnsi="Calibri"/>
          <w:b/>
          <w:color w:val="4A6B25"/>
          <w:sz w:val="20"/>
        </w:rPr>
        <w:t xml:space="preserve">3. </w:t>
      </w:r>
      <w:r>
        <w:rPr>
          <w:rFonts w:ascii="Calibri" w:hAnsi="Calibri"/>
          <w:b w:val="0"/>
          <w:color w:val="3A4A28"/>
          <w:sz w:val="20"/>
        </w:rPr>
        <w:t>Natural gas demand growth from LNG export capacity expansion, petrochemical facility buildouts, and AI data center electricity demand creating a structural multi-year tailwind for compression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238.24% creates refinancing and interest rate risk — if natural gas demand softens or customer defaults increase, the heavily leveraged balance sheet amplifies downside [2]</w:t>
      </w:r>
    </w:p>
    <w:p>
      <w:pPr>
        <w:spacing w:before="40" w:after="40"/>
        <w:ind w:left="283"/>
      </w:pPr>
      <w:r>
        <w:rPr>
          <w:rFonts w:ascii="Calibri" w:hAnsi="Calibri"/>
          <w:b/>
          <w:color w:val="4A6B25"/>
          <w:sz w:val="20"/>
        </w:rPr>
        <w:t xml:space="preserve">2. </w:t>
      </w:r>
      <w:r>
        <w:rPr>
          <w:rFonts w:ascii="Calibri" w:hAnsi="Calibri"/>
          <w:b w:val="0"/>
          <w:color w:val="3A4A28"/>
          <w:sz w:val="20"/>
        </w:rPr>
        <w:t>Thin profitability (5.84% margin, 5.77% ROE) relative to 89.9x trailing PE means any slowdown in growth trajectory could trigger severe multiple compression from the $61.10 level [2]</w:t>
      </w:r>
    </w:p>
    <w:p>
      <w:pPr>
        <w:spacing w:before="40" w:after="40"/>
        <w:ind w:left="283"/>
      </w:pPr>
      <w:r>
        <w:rPr>
          <w:rFonts w:ascii="Calibri" w:hAnsi="Calibri"/>
          <w:b/>
          <w:color w:val="4A6B25"/>
          <w:sz w:val="20"/>
        </w:rPr>
        <w:t xml:space="preserve">3. </w:t>
      </w:r>
      <w:r>
        <w:rPr>
          <w:rFonts w:ascii="Calibri" w:hAnsi="Calibri"/>
          <w:b w:val="0"/>
          <w:color w:val="3A4A28"/>
          <w:sz w:val="20"/>
        </w:rPr>
        <w:t>DPS acquisition integration and power infrastructure capacity buildout execution risk — the Power segment must prove commercial viability at scale while the stock has already declined 18.7% in July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Kodiak's core business — operating and maintaining large-scale natural gas compression equipment in the field — is physically rooted, capital-intensive infrastructure that AI structurally cannot displace [1]. Compression services require physical equipment, trained field technicians, and on-site operations across remote wellsite locations. Natural gas production is essential for energy security and increasingly for powering AI data centers, making compression infrastructure a direct beneficiary of AI-driven electricity demand growth. The contract-based business model with multi-year agreements provides revenue visibility independent of AI disruption. AI Opportunity (1/1): The Power Infrastructure segment, launched through the DPS acquisition, directly serves AI data centers and microgrids with $95-125M in 2026 revenue guidance at 60-70% margins — Kodiak is generating quantifiable revenue from infrastructure that enables AI computing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Kodiak Gas Services Q1 2026 Earnings Press Release — $345.8M revenue (up 4.9%), record $190.1M Adj. EBITDA, Power Infrastructure segment launch, 2026 guidance raised,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MacroTrends — KGS Statistics, $61.10 stock price, D/E 238.24%, PEG 0.23,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Kodiak Gas Services — Company Website, CEO Mickey McKee, Most Loved Workplace, sustainability and EcoView,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MacroTrends — KGS Stock Price History, dividend yield, and revenue trends,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