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LBGJ</w:t>
      </w:r>
      <w:r>
        <w:rPr>
          <w:rFonts w:ascii="Calibri" w:hAnsi="Calibri"/>
          <w:b/>
          <w:color w:val="1A2010"/>
          <w:sz w:val="40"/>
        </w:rPr>
        <w:t xml:space="preserve">  Li Bang International Corporation Inc.</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China</w:t>
      </w:r>
    </w:p>
    <w:p>
      <w:pPr>
        <w:spacing w:after="80"/>
      </w:pPr>
      <w:r>
        <w:rPr>
          <w:rFonts w:ascii="Calibri" w:hAnsi="Calibri"/>
          <w:b w:val="0"/>
          <w:color w:val="3A4A28"/>
          <w:sz w:val="20"/>
        </w:rPr>
        <w:t>Li Bang International Corporation Inc. designs, develops, produces, and sells stainless-steel commercial kitchen equipment under the Li Bang brand in China. Founded in 1992 and incorporated in the Cayman Islands in 2021, the company offers steaming, cooking, baking, frying, disinfection, and refrigeration equipment to hotels, schools, hospitals, institutions, and enterprises. Based in Jiangyin, China, Li Bang is majority-controlled by CEO and Chairman Feng Huang through Maple Huang Holdings Limited (~75.3% of voting power). The company IPO'd on Nasdaq in 2022 at $4 and has since collapsed 99.98% from its October 2024 ATH of $550 to approximately $0.03. Market cap stands at roughly $109K. FY2025 revenue was $11.11M (+2.89% YoY) with a net loss of $1.01M. A planned 1-for-100 reverse stock split was announced to regain Nasdaq minimum bid compliance.</w:t>
      </w:r>
    </w:p>
    <w:p>
      <w:r>
        <w:rPr>
          <w:rFonts w:ascii="Calibri" w:hAnsi="Calibri"/>
          <w:b/>
          <w:color w:val="6E8450"/>
          <w:sz w:val="18"/>
        </w:rPr>
        <w:t>102 Employees · https://jslbkitchenware.com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Li Bang topped out the main structure of its Phase II intelligent kitchen production facility in January 2026 with operations expected to begin June 2026 after a total investment of approximately RMB 200M (~$28M) — a modest expansion of existing manufacturing capabilities rather than a transformative business model pivot [1]. The announced Yufengyuan food distribution acquisition (projected ~$22M revenue contribution) represents a revenue diversification attempt but the market reacted with an 83.82% single-day stock decline, signaling deep skepticism [1]. AI Deployment (0/2): No AI-powered products, AI deployment strategy, or AI-driven cost savings have been identified. The company manufactures physical stainless-steel equipment with no disclosed AI initiatives [2]. Market Share (1/2): Li Bang serves institutional customers including international hotels, schools, and hospitals in China, operating as a meaningful but small participant ($11.11M annual revenue) in a large, fragmented market with no evidence of category leadership or measurable share gains [1]. Product Pipeline (0/2): The Yufengyuan acquisition remains uncertain and the Phase II facility's contribution to revenue is unclear. No specific next-gen products with named launch dates and revenue visibility have been announced [1]. R&amp;D Intensity (0/1): No R&amp;D spending data is publicly reported for this commoditized stainless-steel equipment manufacturer.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 Bang presents itself as a provider of comprehensive commercial kitchen solutions from design to installation and after-sales maintenance, but no formal mission, purpose, or vision statement is articulated on public-facing materials [2]. The description is generic and interchangeable with any regional kitchen equipment manufacturer. Community Impact (0/2): No evidence of charitable programs, community investment, or foundation activities was identified for this micro-cap Chinese manufacturer with $11M in annual revenue [2]. Employee Retention (0/2): No employee retention, turnover, or tenure data is publicly available. The company reports 102 employees as of July 2026, down from approximately 250 previously, suggesting workforce contraction amid financial distress [1][2]. Insider Buying (2/2): CEO and Chairman Feng Huang controls Maple Huang Holdings Limited, which owns approximately 75.3% of all voting power [3]. This represents extraordinary founder-owner alignment — Feng Huang's personal financial outcomes are directly tied to Li Bang's success. While concentrated founder control rather than open-market buying, the economic alignment is unmistakable.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market capitalization of approximately $109K, Li Bang is virtually untradeable for any institutional investor. While penny stock trading volumes may be elevated (the stock trades millions of shares daily at $0.03), the total enterprise value is below IOWN's minimum position size, making the liquidity floor functionally triggered regardless of share volume [1]. Even setting aside the liquidity floor, financial metrics are severely distressed: ROE of approximately -16.8% (negative), profit margin of -9.1% (net loss of $1.01M on $11.11M revenue), D/E of 136.3%, and FY2025 revenue growth of only 2.89% YoY [1][2]. The stock price has collapsed from $550 (October 2024 ATH) to $0.03 — a 99.98% decline — with a planned 1-for-100 reverse split merely a cosmetic attempt to maintain Nasdaq listing 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 Bang International displays predominantly finite game characteristics: a family-controlled micro-cap that has suffered a 99.98% stock price collapse, generates consistent losses in a commoditized manufacturing segment, and is fighting for basic Nasdaq listing survival through a reverse stock split. There is no articulated Just Cause, the Yufengyuan acquisition reads as a desperate pivot rather than purpose-driven transformation, and the company's trajectory suggests governance failures rather than long-term strategic thinking. The score of 4 reflects minimal infinite game characteristics primarily through founder-ownership alignment and incremental business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 Bang has a cause in the most basic sense — providing commercial kitchen equipment to institutions that feed people — but it is not articulated as a distinctive vision of a better future. Investor materials describe product features and service capabilities, not a purpose that inspires sacrifice or contribution [2]. No evidence that CEO Feng Huang references a Just Cause in strategic decisions. The business serves a genuine societal function (institutional feeding infrastructure) but this purpose is implicit, not articulated or operationalized as a strategic driver.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 Bang's small size (102 employees) and founder-family culture suggest a personal, close-knit organizational environment rather than fear-based corporate dynamics [1]. The company has operated continuously since 1992 — a 34-year history that indicates baseline organizational stability. However, the workforce has contracted from approximately 250 to 102 employees, suggesting significant downsizing. No evidence exists of employee empowerment programs, exceptional culture, or trust-building practices. The stock's 99.98% decline likely creates substantial employee anxiety about job security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learning-oriented competition. Li Bang's public communications do not reference competitors, acknowledge rivals' strengths, or demonstrate the infinite competitive mindset Sinek values [2]. The company appears focused on basic survival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Yufengyuan food distribution acquisition (projected ~$22M revenue) and Phase II intelligent kitchen facility (RMB 200M investment) represent incremental business evolution [1]. These show willingness to diversify beyond pure equipment manufacturing. However, the market's 83.82% single-day stock decline on the Yufengyuan announcement and uncertain execution amid financial distress suggest this is reactive adaptation rather than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Feng Huang has demonstrated entrepreneurial persistence — founding Li Bang in 1992, building it into a Nasdaq-listed company, and continuing to pursue growth (Yufengyuan acquisition, Phase II facility) despite devastating stock performance [2][3]. Pursuing a significant acquisition with 75.3% personal stake in a collapsing stock shows willingness to act under adversity. However, the overall trajectory — below-range IPO, 99.98% stock decline, Nasdaq compliance failures — suggests courage without strategic effectiveness.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 Bang International is a micro-cap Chinese commercial kitchen equipment manufacturer with FY2025 revenue of $11.11M (+2.89% YoY), a net loss of $1.01M, and a market capitalization of approximately $109K [1][2]. The company's growth thesis rests entirely on two uncertain initiatives: the Yufengyuan food distribution acquisition (projected ~$22M revenue contribution) and the Phase II intelligent kitchen facility (RMB 200M investment, operations expected mid-2026). CEO Feng Huang's 75.3% ownership stake provides founder-owner alignment, and the physical manufacturing business offers moderate protection from AI disruption. The stock's AI resilience score of 5 reflects the reality that stainless-steel kitchen equipment cannot be replaced by software.</w:t>
      </w:r>
    </w:p>
    <w:p>
      <w:pPr>
        <w:spacing w:after="120"/>
      </w:pPr>
      <w:r>
        <w:rPr>
          <w:rFonts w:ascii="Calibri" w:hAnsi="Calibri"/>
          <w:b w:val="0"/>
          <w:color w:val="3A4A28"/>
          <w:sz w:val="20"/>
        </w:rPr>
        <w:t>The bear case is existential and overwhelming. LBGJ has collapsed 99.98% from its October 2024 ATH of $550 to $0.03, reducing market cap to approximately $109K — less than the cost of a mid-range car [1]. The planned 1-for-100 reverse split is a cosmetic measure to avoid Nasdaq delisting, not a solution to fundamental business problems. Profit margins are -9.1%, ROE is -16.8%, D/E is 136.3%, and the workforce has contracted from ~250 to 102 employees [1][2]. The market's 83.82% single-day decline on the Yufengyuan acquisition announcement signals profound skepticism about management's strategic judgment. There is no analyst coverage, no institutional ownership of substance, and the extreme share price history ($0.02-$550 range) indicates speculative manipulation rather than legitimate price discovery. This is not an investable security for any portfolio with fiduciary standards. IOWN should not hold or consider this stock under any circumstances.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close and integration of Suzhou Yufengyuan Food Distribution acquisition contributing projected ~$22M in 2026 consolidated revenue, roughly doubling the top line — though execution risk is extreme given the market's -83.82% reaction and uncertain financing [1]</w:t>
      </w:r>
    </w:p>
    <w:p>
      <w:pPr>
        <w:spacing w:before="40" w:after="40"/>
        <w:ind w:left="283"/>
      </w:pPr>
      <w:r>
        <w:rPr>
          <w:rFonts w:ascii="Calibri" w:hAnsi="Calibri"/>
          <w:b/>
          <w:color w:val="4A6B25"/>
          <w:sz w:val="20"/>
        </w:rPr>
        <w:t xml:space="preserve">2. </w:t>
      </w:r>
      <w:r>
        <w:rPr>
          <w:rFonts w:ascii="Calibri" w:hAnsi="Calibri"/>
          <w:b w:val="0"/>
          <w:color w:val="3A4A28"/>
          <w:sz w:val="20"/>
        </w:rPr>
        <w:t>Phase II intelligent kitchen production facility beginning operations mid-2026 after RMB 200M investment, potentially improving manufacturing capacity and cost structure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or privatization by controlling shareholder Feng Huang (75.3% voting power) at a premium to rescue the company from Nasdaq compliance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delisting risk — with $109K market cap and $0.03 stock price, Nasdaq minimum bid price and market cap requirements will force delisting unless the reverse split is completed and the company stabilizes; delisting would eliminate the last remaining channel for capital access [1]</w:t>
      </w:r>
    </w:p>
    <w:p>
      <w:pPr>
        <w:spacing w:before="40" w:after="40"/>
        <w:ind w:left="283"/>
      </w:pPr>
      <w:r>
        <w:rPr>
          <w:rFonts w:ascii="Calibri" w:hAnsi="Calibri"/>
          <w:b/>
          <w:color w:val="4A6B25"/>
          <w:sz w:val="20"/>
        </w:rPr>
        <w:t xml:space="preserve">2. </w:t>
      </w:r>
      <w:r>
        <w:rPr>
          <w:rFonts w:ascii="Calibri" w:hAnsi="Calibri"/>
          <w:b w:val="0"/>
          <w:color w:val="3A4A28"/>
          <w:sz w:val="20"/>
        </w:rPr>
        <w:t>Continued cash burn with -9.1% profit margins and net losses creates going concern risk; the workforce contraction from ~250 to 102 employees signals a company in managed decline rather than growth mode [1][2]</w:t>
      </w:r>
    </w:p>
    <w:p>
      <w:pPr>
        <w:spacing w:before="40" w:after="40"/>
        <w:ind w:left="283"/>
      </w:pPr>
      <w:r>
        <w:rPr>
          <w:rFonts w:ascii="Calibri" w:hAnsi="Calibri"/>
          <w:b/>
          <w:color w:val="4A6B25"/>
          <w:sz w:val="20"/>
        </w:rPr>
        <w:t xml:space="preserve">3. </w:t>
      </w:r>
      <w:r>
        <w:rPr>
          <w:rFonts w:ascii="Calibri" w:hAnsi="Calibri"/>
          <w:b w:val="0"/>
          <w:color w:val="3A4A28"/>
          <w:sz w:val="20"/>
        </w:rPr>
        <w:t>Complete absence of institutional ownership, analyst coverage, and governance transparency for a Cayman-incorporated, China-operated micro-cap creates severe information asymmetry and heightened fraud risk for minority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Li Bang's core business — manufacturing and selling stainless-steel commercial kitchen equipment — involves physical products that AI cannot directly substitute. Commercial ovens, steamers, and refrigeration units are physical assets required by restaurants and institutions regardless of AI advancement [2]. However, the company operates in a commodity market with no proprietary technology or switching costs, making it exposed to indirect AI disruption: AI-powered procurement tools could further commoditize supplier selection, larger competitors deploying AI in manufacturing automation could squeeze margins, and AI-driven restaurant optimization could reduce institutional kitchen equipment demand over time. Li Bang's micro-cap size and zero technology investment leave it relatively more exposed than larger physical-goods manufacturers with scale advantages. AI Opportunity (0/1): No AI revenue, AI product integration, or AI-driven efficiency gains are reported. The 'intelligent kitchen production facility' refers to automated manufacturing, not AI-powered customer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 Bang International Corporation SEC Filings, Press Releases, and Financial Statements — FY2025 Revenue $11.11M, Phase II Facility, Yufengyuan Acquisition, 1:100 Reverse Split, StockAnalysis.com and Daily Political, 2025-2026</w:t>
      </w:r>
    </w:p>
    <w:p>
      <w:pPr>
        <w:spacing w:before="20" w:after="20"/>
        <w:ind w:left="170"/>
      </w:pPr>
      <w:r>
        <w:rPr>
          <w:rFonts w:ascii="Calibri" w:hAnsi="Calibri"/>
          <w:b/>
          <w:color w:val="4A6B25"/>
          <w:sz w:val="15"/>
        </w:rPr>
        <w:t xml:space="preserve">2. </w:t>
      </w:r>
      <w:r>
        <w:rPr>
          <w:rFonts w:ascii="Calibri" w:hAnsi="Calibri"/>
          <w:b w:val="0"/>
          <w:color w:val="3A4A28"/>
          <w:sz w:val="17"/>
        </w:rPr>
        <w:t>Li Bang International Corporation Investor Relations, NASDAQ Listing, Yahoo Finance — Stock Price $0.03, Market Cap $109K, 102 Employees,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Li Bang International SEC Filings — Feng Huang ownership structure via Maple Huang Holdings Limited (~75.3% voting power), EDGAR Filings,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