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LIMN</w:t>
      </w:r>
      <w:r>
        <w:rPr>
          <w:rFonts w:ascii="Calibri" w:hAnsi="Calibri"/>
          <w:b/>
          <w:color w:val="1A2010"/>
          <w:sz w:val="40"/>
        </w:rPr>
        <w:t xml:space="preserve">  Liminatus Pharma, Inc.</w:t>
      </w:r>
    </w:p>
    <w:p>
      <w:pPr>
        <w:spacing w:after="120"/>
      </w:pPr>
      <w:r>
        <w:rPr>
          <w:rFonts w:ascii="Calibri" w:hAnsi="Calibri"/>
          <w:b/>
          <w:color w:val="6E8450"/>
          <w:sz w:val="18"/>
        </w:rPr>
        <w:t>GROWTH SLEEVE · 2026-08-17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Liminatus Pharma, Inc. is a pre-clinical stage biopharmaceutical company developing IBA101, a next-generation CD47-blocking humanized monoclonal antibody for advanced solid cancers including non-small cell lung cancer. The company completed an all-stock merger with InnocsAI on July 6, 2026, acquiring a CAR-T cell therapy pipeline at a transaction value of approximately $320M. Transferred from Nasdaq Global Market to Nasdaq Capital Market on August 4, 2026, with bid price compliance extension through September 3, 2026. Founded in 2018, based in Cerritos, California.</w:t>
      </w:r>
    </w:p>
    <w:p>
      <w:r>
        <w:rPr>
          <w:rFonts w:ascii="Calibri" w:hAnsi="Calibri"/>
          <w:b/>
          <w:color w:val="6E8450"/>
          <w:sz w:val="18"/>
        </w:rPr>
        <w:t>1 Employees · https://liminatuspharma.com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Liminatus has a single pre-clinical oncology candidate (IBA101 CD47 antibody) licensed from South Korean company InnoBation Bio in 2023 [1]. Despite announcing a Phase 1 clinical trial plan in March 2026, patient dosing has not commenced. No revenue has been generated since founding in 2018. The company completed an all-stock merger with InnocsAI on July 6, 2026, acquiring CAR-T cell therapy assets at an implied $320M valuation using shares priced at $0.20 — representing massive dilution to existing shareholders [2]. AI Deployment (0/2): No AI products or AI-enabled capabilities. The InnocsAI acquisition name suggests AI connection but the pipeline is CAR-T cell therapy, a biological rather than AI technology. Market Share (0/2): Liminatus is a 1-employee pre-clinical company competing in the CD47 checkpoint inhibitor space where Gilead invested hundreds of millions in magrolimab before scaling back [1]. The company holds no meaningful market position. Product Pipeline (1/2): IBA101 is designed to avoid the severe anemia and thrombocytopenia of first-generation CD47 blockades, and the InnocsAI merger adds CAR-T assets with contingent value rights for 20% of future net proceeds [2]. However, the Phase 1 trial has not commenced dosing and the CAR-T pipeline's development stage is unclear. R&amp;D Intensity (1/1): Operating expenses are primarily R&amp;D-directed at approximately 36% of total costs, above average for the company's stage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Liminatus describes its purpose as developing novel immune-modulating cancer therapies to 'accelerate much-needed cancer treatments' [1]. Cancer immunotherapy is a noble pursuit, but the mission is generic and interchangeable with hundreds of biotech startups. With 1 employee and a going-concern qualification, organizational substance to pursue this cause is virtually nonexistent. Community Impact (0/2): No evidence of charitable programs, community investment, or CSR initiatives for this 1-employee company. Employee Retention (0/2): With 1 full-time employee (per StockAnalysis.com), there is no meaningful organizational team to evaluate [1]. CEO Chris Kim and CFO Scott Dam are the only named officers. CSO Dr. Byong-Chul Yoo is a Professor at the National Cancer Center in Korea, suggesting part-time involvement. Insider Buying (0/2): No insider buying activity identified. The stock has declined from its $33.66 peak to $0.14, and no insiders purchased shares at depressed levels [1]. The InnocsAI merger was structured at $0.20/share — below even the current depressed price — suggesting the counterparty values the equity minimally.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 daily volume 32,416,910 x $0.14 = $4.54M — passes $1M floor, though extreme volume on a sub-$0.15 stock reflects penny stock speculation. Mechanically scored on available metrics. D/E of 480% scores (300-480)/(300-70) = 0.0 at floor (1x) — heavily leveraged after InnocsAI merger restructuring [2]. ROE unavailable, excluded. Revenue growth unavailable (zero revenue), excluded. Forward P/E unavailable, excluded. Profit margin unavailable (zero revenue), excluded. PEG unavailable, excluded. The only scorable metric (D/E) yields 0.0. Score: 0/10. Book value per share of $0.01 against $0.14 stock price. Operating cash flow of -$3.81M against accumulated deficit of $40.0M+. Net loss of $12.52M TTM. Nasdaq transferred to Capital Market tier with bid price compliance extension to September 3,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Liminatus exhibits strongly finite-game characteristics: a pre-clinical company with existential going-concern risk, 1 employee, Nasdaq delisting pressure requiring transfer to Capital Market tier with September 3, 2026 bid price deadline, and an accumulated deficit exceeding $40M. The InnocsAI merger at $0.20/share implied $320M valuation through massive share issuance that dilutes existing holders while adding pre-clinical CAR-T assets of uncertain value. Survival, not purpose, dominates every strategic decision.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Cancer immunotherapy is a noble pursuit, and the focus on next-generation CD47 blockade and now CAR-T cell therapy reflects genuine scientific intentionality [1]. However, with 1 employee, a going-concern qualification, Nasdaq delisting pressure, and failure to advance beyond pre-clinical stage in 8 years since founding, organizational substance to credibly pursue this cause is virtually nonexistent. The InnocsAI merger adds pipeline breadth but at extreme dilution, suggesting financial engineering rather than mission-driven strategy [2]. Display score: 4/10.</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1 full-time employee and named officers at part-time capacity (CSO Dr. Yoo at a Korean university), there is no meaningful organizational team [1]. The SPAC origin, multiple Nasdaq compliance failures, and InnocsAI merger structured to close before stockholder approval suggest governance challenges. Shares outstanding have expanded massively through dilutive offerings and the merger. Display score: 2/10.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Liminatus operates in a space where Gilead invested hundreds of millions in CD47 blockade before scaling back [1]. There is no evidence the company has strategically learned from competitors' failures — it proceeds with minimal resources against competitors with thousands of scientists and billions in R&amp;D. No competitive language or rival acknowledgment has been disclosed. Display score: 3/10.</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InnocsAI merger nominally represents strategic expansion from a single CD47 antibody to a broader oncology pipeline including CAR-T assets [2]. However, the merger was structured at $0.20/share with massive dilution and no demonstrated ability to advance any program clinically. The company lacks resources to execute on either the original or acquired pipeline. This is financial restructuring, not strategic flexibility driven by a Just Cause. Display score: 2/10.</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InnocsAI merger — structured as an all-stock deal at $0.20/share closing before stockholder approval — raises governance concerns rather than demonstrating courageous leadership [2]. Pursuing CD47 immunotherapy as a 1-employee company when Gilead abandoned similar programs after spending hundreds of millions reflects either extraordinary ambition or insufficient competitive awareness. No evidence of leadership making costly long-term investments beyond dilutive capital raises. Display score: 2/10.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Liminatus holds a pre-clinical oncology pipeline anchored by IBA101 (next-generation CD47 antibody) and now CAR-T cell therapy assets acquired via the InnocsAI merger that closed July 6, 2026 [2]. The second-generation CD47 approach is engineered to avoid hematological toxicities that hampered first-generation programs. At a $6.3M market cap, any clinical validation could represent significant upside from a de minimis base. The InnocsAI assets add pipeline breadth with contingent value rights for 20% of future net proceeds from strategic transactions.</w:t>
      </w:r>
    </w:p>
    <w:p>
      <w:pPr>
        <w:spacing w:after="120"/>
      </w:pPr>
      <w:r>
        <w:rPr>
          <w:rFonts w:ascii="Calibri" w:hAnsi="Calibri"/>
          <w:b w:val="0"/>
          <w:color w:val="3A4A28"/>
          <w:sz w:val="20"/>
        </w:rPr>
        <w:t>The overwhelming weight of evidence points to extreme risk across every dimension. The company has 1 employee, zero revenue, accumulated deficit exceeding $40M, D/E of 480%, book value of $0.01/share, and TTM net loss of $12.52M [1]. The InnocsAI merger was structured at $0.20/share (below current $0.14 market price) and closed before stockholder approval, raising governance concerns. Massive share dilution from the merger, prior equity offerings, and the Clear Street settlement have destroyed per-share economics [2]. Nasdaq transferred the stock to Capital Market tier on August 4, 2026 with bid price compliance deadline of September 3, 2026 — delisting is imminent without a reverse stock split or sustained price recovery. The Phase 1 IBA101 trial has not commenced dosing 5 months after announcement. Major pharma competitors abandoned similar CD47 programs after investing exponentially more, and the CAR-T assets' development stage and competitive positioning are unclear. No analyst coverage exists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IBA101 Phase 1 trial initiation and initial safety/pharmacokinetic data could validate the second-generation CD47 approach and attract pharma licensing interest [1]</w:t>
      </w:r>
    </w:p>
    <w:p>
      <w:pPr>
        <w:spacing w:before="40" w:after="40"/>
        <w:ind w:left="283"/>
      </w:pPr>
      <w:r>
        <w:rPr>
          <w:rFonts w:ascii="Calibri" w:hAnsi="Calibri"/>
          <w:b/>
          <w:color w:val="4A6B25"/>
          <w:sz w:val="20"/>
        </w:rPr>
        <w:t xml:space="preserve">2. </w:t>
      </w:r>
      <w:r>
        <w:rPr>
          <w:rFonts w:ascii="Calibri" w:hAnsi="Calibri"/>
          <w:b w:val="0"/>
          <w:color w:val="3A4A28"/>
          <w:sz w:val="20"/>
        </w:rPr>
        <w:t>InnocsAI CAR-T cell therapy pipeline development could diversify the oncology portfolio beyond CD47 blockade, with contingent value rights providing additional upside from strategic transactions [2]</w:t>
      </w:r>
    </w:p>
    <w:p>
      <w:pPr>
        <w:spacing w:before="40" w:after="40"/>
        <w:ind w:left="283"/>
      </w:pPr>
      <w:r>
        <w:rPr>
          <w:rFonts w:ascii="Calibri" w:hAnsi="Calibri"/>
          <w:b/>
          <w:color w:val="4A6B25"/>
          <w:sz w:val="20"/>
        </w:rPr>
        <w:t xml:space="preserve">3. </w:t>
      </w:r>
      <w:r>
        <w:rPr>
          <w:rFonts w:ascii="Calibri" w:hAnsi="Calibri"/>
          <w:b w:val="0"/>
          <w:color w:val="3A4A28"/>
          <w:sz w:val="20"/>
        </w:rPr>
        <w:t>Potential reverse stock split to regain Nasdaq bid price compliance before the September 3, 2026 deadline, preserving access to public capital markets — shareholders approved reverse split authority in prior votes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Nasdaq delisting risk — transferred to Capital Market tier with September 3, 2026 bid price compliance deadline, after multiple prior compliance failures across MVLS, MVPHS, and Bid Price Rule categories [2]</w:t>
      </w:r>
    </w:p>
    <w:p>
      <w:pPr>
        <w:spacing w:before="40" w:after="40"/>
        <w:ind w:left="283"/>
      </w:pPr>
      <w:r>
        <w:rPr>
          <w:rFonts w:ascii="Calibri" w:hAnsi="Calibri"/>
          <w:b/>
          <w:color w:val="4A6B25"/>
          <w:sz w:val="20"/>
        </w:rPr>
        <w:t xml:space="preserve">2. </w:t>
      </w:r>
      <w:r>
        <w:rPr>
          <w:rFonts w:ascii="Calibri" w:hAnsi="Calibri"/>
          <w:b w:val="0"/>
          <w:color w:val="3A4A28"/>
          <w:sz w:val="20"/>
        </w:rPr>
        <w:t>Extreme dilution from InnocsAI merger structured at $0.20/share with $320M implied valuation through massive share issuance, compounding prior dilution from equity offerings and the Clear Street settlement — existing shareholders have been catastrophically diluted [2]</w:t>
      </w:r>
    </w:p>
    <w:p>
      <w:pPr>
        <w:spacing w:before="40" w:after="40"/>
        <w:ind w:left="283"/>
      </w:pPr>
      <w:r>
        <w:rPr>
          <w:rFonts w:ascii="Calibri" w:hAnsi="Calibri"/>
          <w:b/>
          <w:color w:val="4A6B25"/>
          <w:sz w:val="20"/>
        </w:rPr>
        <w:t xml:space="preserve">3. </w:t>
      </w:r>
      <w:r>
        <w:rPr>
          <w:rFonts w:ascii="Calibri" w:hAnsi="Calibri"/>
          <w:b w:val="0"/>
          <w:color w:val="3A4A28"/>
          <w:sz w:val="20"/>
        </w:rPr>
        <w:t>The CD47 mechanism has a poor clinical track record — Gilead invested hundreds of millions in magrolimab before scaling back — and a 1-employee company with $6.3M market cap and zero revenue attempting to advance both CD47 and CAR-T programs simultaneously strains credibility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Drug development is a regulated, capital-intensive, and physically grounded process that AI cannot substitute — clinical trials, FDA approvals, GMP manufacturing, and patient safety monitoring all require human oversight and physical infrastructure [1]. However, Liminatus's specific position is nuanced: the company is so early-stage (1 employee, going concern) that AI's impact is largely irrelevant to near-term survival, which depends entirely on financing and clinical execution. AI-driven drug discovery tools from larger competitors could accelerate competing CD47 and CAR-T programs, eroding whatever scientific advantage IBA101's design or the InnocsAI assets may confer. AI Opportunity (0/1): No AI-related revenue or AI-enabled capabilities despite the InnocsAI name. The acquired CAR-T pipeline is biological therapy, not AI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Liminatus Pharma Phase 1 Trial Announcement (March 2026), Operating Metrics (1 employee, zero revenue, $40M+ accumulated deficit), CD47/IBA101 Pipeline, SEC Filings 10-Q/10-K, 2025-2026</w:t>
      </w:r>
    </w:p>
    <w:p>
      <w:pPr>
        <w:spacing w:before="20" w:after="20"/>
        <w:ind w:left="170"/>
      </w:pPr>
      <w:r>
        <w:rPr>
          <w:rFonts w:ascii="Calibri" w:hAnsi="Calibri"/>
          <w:b/>
          <w:color w:val="4A6B25"/>
          <w:sz w:val="15"/>
        </w:rPr>
        <w:t xml:space="preserve">2. </w:t>
      </w:r>
      <w:r>
        <w:rPr>
          <w:rFonts w:ascii="Calibri" w:hAnsi="Calibri"/>
          <w:b w:val="0"/>
          <w:color w:val="3A4A28"/>
          <w:sz w:val="17"/>
        </w:rPr>
        <w:t>Liminatus Pharma InnocsAI Merger Closing (July 6, 2026), $320M Implied Valuation at $0.20/share, Nasdaq Capital Market Transfer (August 4, 2026), Bid Price Extension to September 3, 2026, Reverse Stock Split Authorization, stocktitan.net and theglobeandmail.com,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