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LTC</w:t>
      </w:r>
      <w:r>
        <w:rPr>
          <w:rFonts w:ascii="Calibri" w:hAnsi="Calibri"/>
          <w:b/>
          <w:color w:val="1A2010"/>
          <w:sz w:val="40"/>
        </w:rPr>
        <w:t xml:space="preserve">  LTC Properties, Inc.</w:t>
      </w:r>
    </w:p>
    <w:p>
      <w:pPr>
        <w:spacing w:after="120"/>
      </w:pPr>
      <w:r>
        <w:rPr>
          <w:rFonts w:ascii="Calibri" w:hAnsi="Calibri"/>
          <w:b/>
          <w:color w:val="6E8450"/>
          <w:sz w:val="18"/>
        </w:rPr>
        <w:t>DIVIDEND SLEEVE · 2026-07-31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LTC Properties, Inc. is a real estate investment trust investing in seniors housing and health care properties through its senior housing operating portfolio (SHOP), triple-net leases, mortgage loans, and joint ventures. The portfolio includes nearly 200 properties across the United States, approximately 70% seniors housing and 30% skilled nursing. The company is undergoing a strategic transformation from a passive triple-net lease REIT to an active SHOP operator, with $570 million in prior SHOP acquisitions and $600 million projected for 2026. Founded in 1992, headquartered in Westlake Village, California.</w:t>
      </w:r>
    </w:p>
    <w:p>
      <w:r>
        <w:rPr>
          <w:rFonts w:ascii="Calibri" w:hAnsi="Calibri"/>
          <w:b/>
          <w:color w:val="6E8450"/>
          <w:sz w:val="18"/>
        </w:rPr>
        <w:t>80 Employees · https://www.ltcreit.com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LTC Properties has executed a significant strategic pivot from a triple-net lease REIT to an active SHOP operator since launching its SHOP initiative in May 2025. The transformation is substantial: $570 million in prior seniors housing acquisitions plus $600 million projected 2026 SHOP acquisitions, alongside $265 million of skilled nursing divestitures, are expected to drive approximately 40% of annualized NOI from SHOP by year-end 2026 [1][2]. This represents a genuine business model transformation within the REIT sector. AI Deployment (0/2): LTC is building data capabilities and analytics infrastructure to support SHOP operations and share information with operating partners, but no AI products are shipping and no quantified AI-driven savings have been reported [2]. Market Share (1/2): LTC is a mid-tier player in the seniors housing REIT space with nearly 200 properties, competing against larger platforms like Welltower and Ventas. The company is actively gaining market position through SHOP acquisitions, including the recent $108.1 million acquisition of three Georgia communities [1][2]. Product Pipeline (1/2): Active deal pipeline with $600 million projected 2026 SHOP acquisitions. Recent $108.1 million Georgia acquisition demonstrates execution capability [1]. R&amp;D Intensity (0/1): Not applicable for a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LTC's vision to be 'the capital partner of choice for high-quality seniors housing and healthcare operators' connects its real estate business to serving the elderly care ecosystem [2]. The company describes itself as 'curating their real estate portfolio for the people who matter most — operators, residents, and shareholders,' showing genuine intentionality. Clear and purposeful but not sufficiently distinctive to differentiate from peer REITs in the space. Community Impact (1/2): LTC published its inaugural ESG report 'People. Planet. Purpose' in 2023, initiated programs to help operators implement sustainable business solutions, and participates in the California Clean Power Alliance Program [3]. Documented but general corporate responsibility. Employee Retention (1/2): The co-CEO model with Clint Malin (appointed December 2024) and Pam Kessler provides leadership continuity and succession planning, allowing each leader to focus on different aspects of the business during the SHOP transformation [2]. Small organization (~80 employees) suggests intimate culture. No specific retention metrics available. Insider Buying (1/2): Chief Investment Officer Dave Boitano purchased 10,000 shares ($346,900) on June 4, 2026 [4]. Meaningful individual purchase demonstrating conviction, though not yet a broad pattern across multiple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LTC's revenue growth is exceptional at approximately 30% YoY in FY2025 ($262.9M vs. prior year), driven by the SHOP transformation adding resident fees and services revenue — Q1 2026 revenue nearly doubled YoY to $95.4 million [1]. 5-year revenue CAGR of approximately 10% exceeds the target. D/E of 78.15% is slightly above the 70% target but within acceptable range for a healthcare REIT [5]. ROE of 11.18% is below the 15% target, reflecting REIT-typical capital intensity. Profit margin of approximately 40% (TTM) is strong, well above the 20% target [5]. Forward P/E of 23.48 is above the 20 target but this is partially distorted by REIT GAAP accounting where depreciation depresses reported earnings relative to FFO; Core FFO guidance of $2.75-$2.79 implies a P/FFO of approximately 14x [1]. Payout ratio of approximately 94% is high but typical for REITs required to distribute 90%+ of taxable income. Consecutive years paid of 34 (since 1992) is exceptional, but consecutive growth years and dividend growth CAGR are modest at approximately 3 years and 2% respectively.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LTC Properties demonstrates meaningfully infinite-game characteristics through its bold SHOP transformation, which sacrifices the predictability of triple-net leases in pursuit of greater alignment with operators and residents. The company's 34-year track record of investing in seniors housing since 1992 provides genuine long-term consistency, and the co-CEO succession model shows thoughtful leadership continuity. The SHOP pivot, involving over $1 billion in capital reallocation, represents genuine existential flexibility and courageous leadership. However, the competitive orientation remains focused on market positioning rather than learning from worthy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LTC's purpose of being 'the capital partner of choice for high-quality seniors housing and healthcare operators' connects real estate investment to a broader social need — housing and caring for elderly Americans [2]. This purpose has been lived out consistently for 34 years since 1992. The SHOP transformation deepens this alignment by shifting from passive landlord to active partner in resident care outcomes. Strategic decisions — investing $1.2B+ in SHOP, divesting $265M of skilled nursing, building data capabilities for operators — trace back to this purpose [1][2]. The cause is genuine, specific, and partially validated by consistent execution, though it has not yet been tested through a major crisis under the current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model with Malin and Kessler suggests a collaborative leadership philosophy that distributes authority rather than concentrating it [2]. LTC describes its approach as not looking to 'over-manage' operating partners, instead using data to help partners make better decisions — a trust-based partnership model. The company has invested substantially in new people and systems to support the SHOP transformation, suggesting organizational building rather than cost-cutting. However, limited employee data is available for a small REIT (~80 employees), and the rapid transformation may create internal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LTC's competitive communications focus on growth execution, deal pipeline, and portfolio transformation metrics rather than acknowledging and learning from larger competitors like Welltower and Ventas. The company positions its SHOP strategy as differentiated but does not publicly reference what it has learned from rivals' approaches or use competitive dynamics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SHOP transformation represents a fundamental reinvention of LTC's business model — from a passive triple-net lease REIT collecting predictable rent checks to an active senior housing operator managing resident fees, staffing, and occupancy [1][2]. This shift changes how LTC generates revenue (from lease income to resident fees and services), manages risk (from tenant credit risk to operating risk), and creates value (from capital allocation to operational excellence). Q1 2026 revenue composition already reflects this transformation, with SHOP contributing $49.6 million of the $95.4 million total revenue — SHOP went from approximately 0% of revenue to over 50% in roughly 18 months [1]. The pivot was driven by conviction that active management better serves the aging population ('Golden Age' thesis), not by desperation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SHOP transformation is a genuinely courageous strategic bet — LTC is divesting $265 million of established, predictable skilled nursing assets and investing over $1.2 billion in SHOP acquisitions, fundamentally changing its business model from passive triple-net landlord to active operating portfolio manager [1][2]. This transformation increases execution risk (SHOP requires operational expertise, not just capital allocation), reduces near-term earnings predictability, and requires 'substantial investment in people, systems and technology' [2]. The co-CEO structure (Malin and Kessler) represents a non-traditional succession model that prioritizes institutional capability over individual hero leadership — a distinctly infinite-game approach. Management's willingness to accept lower short-term margins (Q1 2026 profit margin dropped to 25% from 40% due to SHOP operating costs) in pursuit of long-term growth reflects pattern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LTC Properties is executing a bold strategic transformation from triple-net lease REIT to active SHOP operator, capitalizing on what management calls the coming 'Golden Age' of senior living driven by baby boomer demographics [2]. Q1 2026 results validated the strategy: revenue nearly doubled YoY to $95.4 million, Core FFO rose to $0.69 per share, and SHOP contributed $49.6 million in resident fees [1]. With $570 million in prior SHOP acquisitions, $600 million projected for 2026, and $265 million of skilled nursing divestitures, the portfolio is being actively reshaped — SHOP is expected to reach 40% of annualized NOI by year-end [1]. The 5.96% dividend yield, monthly payment schedule, and 34-year consecutive payment track record (since 1992) provide reliable income, while the SHOP growth pivot offers upside potential. Full-year 2026 Core FFO guidance of $2.75-$2.79 implies a P/FFO of approximately 14x, which is attractive for a healthcare REIT with 30%+ revenue growth [1][5].</w:t>
      </w:r>
    </w:p>
    <w:p>
      <w:pPr>
        <w:spacing w:after="120"/>
      </w:pPr>
      <w:r>
        <w:rPr>
          <w:rFonts w:ascii="Calibri" w:hAnsi="Calibri"/>
          <w:b w:val="0"/>
          <w:color w:val="3A4A28"/>
          <w:sz w:val="20"/>
        </w:rPr>
        <w:t>The primary risk is execution on the SHOP transformation — LTC is fundamentally changing its business model from passive rent collection (predictable, low-risk) to active facility operations (higher-growth but higher-risk). Q1 2026 profit margin dropped to 25% from 40% due to SHOP operating costs, and the forward GAAP P/E of 23.48 is elevated relative to the triple-net REIT universe, reflecting the market pricing in growth expectations that must be delivered [5]. The payout ratio of approximately 94% leaves minimal margin for distribution safety if SHOP execution falters, and the dividend growth CAGR of just 2% over five years reflects the company's income-oriented shareholder base that expects stable payouts over growth. Healthcare REIT operational risks — including labor shortages, occupancy sensitivity, and regulatory changes affecting seniors housing — are amplified in the SHOP model where LTC bears operating risk rather than passing it to tenants. The company's relatively small scale (~200 properties) compared to Welltower (~1,900 properties) limits negotiating leverage with operators and vendors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SHOP portfolio reaching 40% of annualized NOI by year-end 2026 through $600 million in projected acquisitions, transforming the revenue mix toward higher-growth, higher-margin operating income from resident fees</w:t>
      </w:r>
    </w:p>
    <w:p>
      <w:pPr>
        <w:spacing w:before="40" w:after="40"/>
        <w:ind w:left="283"/>
      </w:pPr>
      <w:r>
        <w:rPr>
          <w:rFonts w:ascii="Calibri" w:hAnsi="Calibri"/>
          <w:b/>
          <w:color w:val="4A6B25"/>
          <w:sz w:val="20"/>
        </w:rPr>
        <w:t xml:space="preserve">2. </w:t>
      </w:r>
      <w:r>
        <w:rPr>
          <w:rFonts w:ascii="Calibri" w:hAnsi="Calibri"/>
          <w:b w:val="0"/>
          <w:color w:val="3A4A28"/>
          <w:sz w:val="20"/>
        </w:rPr>
        <w:t>Baby boomer demographic tailwind creating structural demand growth for senior housing as the 80+ population accelerates — management's 'Golden Age' thesis supported by industry-wide occupancy recovery toward pre-COVID levels</w:t>
      </w:r>
    </w:p>
    <w:p>
      <w:pPr>
        <w:spacing w:before="40" w:after="40"/>
        <w:ind w:left="283"/>
      </w:pPr>
      <w:r>
        <w:rPr>
          <w:rFonts w:ascii="Calibri" w:hAnsi="Calibri"/>
          <w:b/>
          <w:color w:val="4A6B25"/>
          <w:sz w:val="20"/>
        </w:rPr>
        <w:t xml:space="preserve">3. </w:t>
      </w:r>
      <w:r>
        <w:rPr>
          <w:rFonts w:ascii="Calibri" w:hAnsi="Calibri"/>
          <w:b w:val="0"/>
          <w:color w:val="3A4A28"/>
          <w:sz w:val="20"/>
        </w:rPr>
        <w:t>Data science and analytics capabilities being built to improve SHOP operational performance and partner decision-making, potentially driving occupancy gains and margin expansion across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SHOP transformation execution risk — Q1 2026 profit margin dropped to 25% from 40% as operating expenses for SHOP are fundamentally higher than triple-net, and failure to achieve target occupancy or control staffing costs could compress returns below triple-net alternatives</w:t>
      </w:r>
    </w:p>
    <w:p>
      <w:pPr>
        <w:spacing w:before="40" w:after="40"/>
        <w:ind w:left="283"/>
      </w:pPr>
      <w:r>
        <w:rPr>
          <w:rFonts w:ascii="Calibri" w:hAnsi="Calibri"/>
          <w:b/>
          <w:color w:val="4A6B25"/>
          <w:sz w:val="20"/>
        </w:rPr>
        <w:t xml:space="preserve">2. </w:t>
      </w:r>
      <w:r>
        <w:rPr>
          <w:rFonts w:ascii="Calibri" w:hAnsi="Calibri"/>
          <w:b w:val="0"/>
          <w:color w:val="3A4A28"/>
          <w:sz w:val="20"/>
        </w:rPr>
        <w:t>Payout ratio of approximately 94% provides minimal distribution cushion — any sustained shortfall in SHOP operating performance could force a dividend reduction that would damage the income-investor shareholder base</w:t>
      </w:r>
    </w:p>
    <w:p>
      <w:pPr>
        <w:spacing w:before="40" w:after="40"/>
        <w:ind w:left="283"/>
      </w:pPr>
      <w:r>
        <w:rPr>
          <w:rFonts w:ascii="Calibri" w:hAnsi="Calibri"/>
          <w:b/>
          <w:color w:val="4A6B25"/>
          <w:sz w:val="20"/>
        </w:rPr>
        <w:t xml:space="preserve">3. </w:t>
      </w:r>
      <w:r>
        <w:rPr>
          <w:rFonts w:ascii="Calibri" w:hAnsi="Calibri"/>
          <w:b w:val="0"/>
          <w:color w:val="3A4A28"/>
          <w:sz w:val="20"/>
        </w:rPr>
        <w:t>Small scale relative to Welltower and Ventas limits negotiating leverage and portfolio diversification — concentrated SHOP bets in specific geographies (e.g., $108M Georgia acquisition) create outsized single-market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Senior housing and health care real estate is a physical-world, human-care business that AI structurally cannot displace [1][2]. The residents of LTC's facilities require in-person caregiving, physical living spaces, daily assistance with activities, medication management, and social interaction — none of which can be virtualized or automated by AI. The regulatory environment (state licensing, certificate-of-need requirements, CMS oversight for skilled nursing) creates additional structural barriers. Demographics provide a durable demand tailwind as the baby boomer generation enters the 80+ age cohort, creating what LTC's management calls a coming 'Golden Age' for senior living [2]. However, unlike energy infrastructure, AI does not directly increase demand for senior housing, limiting the score to 8. AI Opportunity (0/1): LTC is building data science and analytics capabilities to improve SHOP operational decision-making and share insights with operating partners, but this is internal analytics infrastructure, not AI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LTC Properties Q1 2026 Earnings Release and 2026 Guidance — ir.ltcreit.com, April 2026</w:t>
      </w:r>
    </w:p>
    <w:p>
      <w:pPr>
        <w:spacing w:before="20" w:after="20"/>
        <w:ind w:left="170"/>
      </w:pPr>
      <w:r>
        <w:rPr>
          <w:rFonts w:ascii="Calibri" w:hAnsi="Calibri"/>
          <w:b/>
          <w:color w:val="4A6B25"/>
          <w:sz w:val="15"/>
        </w:rPr>
        <w:t xml:space="preserve">2. </w:t>
      </w:r>
      <w:r>
        <w:rPr>
          <w:rFonts w:ascii="Calibri" w:hAnsi="Calibri"/>
          <w:b w:val="0"/>
          <w:color w:val="3A4A28"/>
          <w:sz w:val="17"/>
        </w:rPr>
        <w:t>Senior Housing News — LTC Properties SHOP Transformation and 'Golden Age' Thesis, April-May 2026</w:t>
      </w:r>
    </w:p>
    <w:p>
      <w:pPr>
        <w:spacing w:before="20" w:after="20"/>
        <w:ind w:left="170"/>
      </w:pPr>
      <w:r>
        <w:rPr>
          <w:rFonts w:ascii="Calibri" w:hAnsi="Calibri"/>
          <w:b/>
          <w:color w:val="4A6B25"/>
          <w:sz w:val="15"/>
        </w:rPr>
        <w:t xml:space="preserve">3. </w:t>
      </w:r>
      <w:r>
        <w:rPr>
          <w:rFonts w:ascii="Calibri" w:hAnsi="Calibri"/>
          <w:b w:val="0"/>
          <w:color w:val="3A4A28"/>
          <w:sz w:val="17"/>
        </w:rPr>
        <w:t>LTC Properties Inaugural ESG Report 'People. Planet. Purpose.' — ir.ltcreit.com, March 2023</w:t>
      </w:r>
    </w:p>
    <w:p>
      <w:pPr>
        <w:spacing w:before="20" w:after="20"/>
        <w:ind w:left="170"/>
      </w:pPr>
      <w:r>
        <w:rPr>
          <w:rFonts w:ascii="Calibri" w:hAnsi="Calibri"/>
          <w:b/>
          <w:color w:val="4A6B25"/>
          <w:sz w:val="15"/>
        </w:rPr>
        <w:t xml:space="preserve">4. </w:t>
      </w:r>
      <w:r>
        <w:rPr>
          <w:rFonts w:ascii="Calibri" w:hAnsi="Calibri"/>
          <w:b w:val="0"/>
          <w:color w:val="3A4A28"/>
          <w:sz w:val="17"/>
        </w:rPr>
        <w:t>SEC Form 4 Filing — Dave Boitano 10,000 Share Purchase ($346,900), June 4,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LTC Statistics, Valuation &amp; Financial Metrics,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McKnight's Senior Living — LTC Properties SHOP Evolution Coverage,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