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LUMN</w:t>
      </w:r>
      <w:r>
        <w:rPr>
          <w:rFonts w:ascii="Calibri" w:hAnsi="Calibri"/>
          <w:b/>
          <w:color w:val="1A2010"/>
          <w:sz w:val="40"/>
        </w:rPr>
        <w:t xml:space="preserve">  Lumen Technologies, Inc.</w:t>
      </w:r>
    </w:p>
    <w:p>
      <w:pPr>
        <w:spacing w:after="120"/>
      </w:pPr>
      <w:r>
        <w:rPr>
          <w:rFonts w:ascii="Calibri" w:hAnsi="Calibri"/>
          <w:b/>
          <w:color w:val="6E8450"/>
          <w:sz w:val="18"/>
        </w:rPr>
        <w:t>GROWTH SLEEVE · 2026-08-13 · Inspire: -75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Telecom Services · NYSE · United States</w:t>
      </w:r>
    </w:p>
    <w:p>
      <w:pPr>
        <w:spacing w:after="80"/>
      </w:pPr>
      <w:r>
        <w:rPr>
          <w:rFonts w:ascii="Calibri" w:hAnsi="Calibri"/>
          <w:b w:val="0"/>
          <w:color w:val="3A4A28"/>
          <w:sz w:val="20"/>
        </w:rPr>
        <w:t>Lumen Technologies, Inc. is a multinational technology company that provides communications, network, and security solutions to enterprise and government customers worldwide. The company operates one of the largest and most interconnected networks in the world, carrying a significant portion of global internet traffic. Lumen's strategic pivot focuses on Private Connectivity Fabric (PCF), a modular network architecture serving hyperscaler and AI data center customers, supported by nearly $13 billion in total contract value. The company is adding 34 million new fiber miles by 2028. Formerly known as CenturyLink. Headquartered in Monroe, Louisiana.</w:t>
      </w:r>
    </w:p>
    <w:p>
      <w:r>
        <w:rPr>
          <w:rFonts w:ascii="Calibri" w:hAnsi="Calibri"/>
          <w:b/>
          <w:color w:val="6E8450"/>
          <w:sz w:val="18"/>
        </w:rPr>
        <w:t>25,000 Employees · https://www.lumen.com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Under CEO Kate Johnson (since November 2022), Lumen has executed a dramatic strategic pivot from legacy telecom to AI-era network infrastructure [2]. Private Connectivity Fabric (PCF) — a modular architecture allowing hyperscalers to lease entire dark fiber routes and light them with custom hardware — has attracted nearly $13 billion in total contract value [3]. Strategic revenue grew 14% YoY in Q2 2026 and now represents 53% of total business revenue, up from 51% in Q1 [1]. This represents a genuinely significant business model transformation. AI Deployment (1/2): Lumen IS deploying AI-related infrastructure products — its PCF and dark fiber services directly support AI data center connectivity for hyperscalers [3]. High-bandwidth 100 and 400 gig wave services are specifically designed for AI workload requirements. However, Lumen is selling the physical infrastructure that enables AI, not AI products themselves. Market Share (1/2): Lumen carries a significant portion of the world's internet traffic and has unique intercity fiber assets, but it is not the dominant leader in enterprise telecom versus AT&amp;T and Verizon [3]. It is a meaningful player with differentiated assets. Product Pipeline (1/2): 34 million new fiber miles under construction by end of 2028, expanding total intercity and metro fiber to 47 million miles [3]. PCF architecture continues to attract new hyperscaler contracts. Specific timelines and investment levels identified. R&amp;D Intensity (0/1): No specific R&amp;D spending data above industry average identified. Capital expenditure focuses on network expansion rather than traditional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Kate Johnson's vision of 'revolutionizing telecom for the AI era' is specific and thoughtful — it connects Lumen's work to the broader technological transformation and differentiates from peers with a clear forward-looking purpose [2]. 'The networks of yesterday simply do not serve the AI needs of tomorrow' articulates a genuine belief about the company's role. However, this vision is new (since 2022) and has not been validated through decades of consistent execution. Community Impact (0/2): No specific philanthropic programs, community investment dollar amounts, or distinctive community initiatives identified for Lumen Technologies. Employee Retention (0/2): No specific employee retention data identified. The company has undergone massive restructuring, divestitures (including ILEC operations to Brightspeed), and headcount reductions that likely impact employee engagement. Insider Buying (2/2): CEO Kate Johnson purchased 100,000 shares at $6.13 per share ($613,000) on August 6, 2026, adding to a pattern of insider buying described as a 'multi-million dollar vote of confidence' [2]. Several value-oriented hedge funds have taken new positions in LUMN, partly attracted by the CEO's repeated personal investment. This represents meaningful, repeated insider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all of which are severely impaired. D/E is estimated at approximately 500% ($13.5 billion debt against approximately $2.7 billion in book equity), far exceeding the 300% floor [4]. ROE of -78.9% reflects significant net losses on a declining equity base [4]. Revenue declined 9% YoY in Q2 2026 ($2.81 billion versus $3.09 billion prior year), and five-year revenue CAGR of -11.9% is far below the -5% floor, driven by secular legacy telecom decline [1]. Forward P/E of 98.04 far exceeds the 60 floor, reflecting minimal near-term earnings expectations [4]. Net profit margin of -8.65% reflects ongoing losses [4]. The only positive metric is revenue growth YoY, which scores above the floor despite being negative (-9% versus -20% floor). Lumen does not pay a dividend (suspended in 2022), so it is scored as a Growth stock, and the PEG ratio is unavailable. The company reduced total debt from approximately $20 billion to $13.5 billion using AT&amp;T asset sale proceeds [2], but the balance sheet remains highly leveraged relative to the shrunken revenue base.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Lumen under Kate Johnson demonstrates striking infinite game characteristics: a genuine transformation vision, pattern of courageous decisions, and existential flexibility in pivoting from legacy telecom to AI infrastructure. Johnson's personal investment in the company through repeated share purchases at low prices embodies the conviction Sinek admires. However, the organization has been through massive disruption — divestitures, layoffs, dividend suspension — that has damaged trust. The Just Cause is compelling but untested through decades of consistency. Sinek would be cautiously optimistic: the right mindset is emerging but the transformation's success remains unproven.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Kate Johnson's vision of 'revolutionizing telecom for the AI era' is genuine, specific, and connects Lumen's work to the broader transformation of computing and communication [2][3]. The belief that 'the networks of yesterday simply do not serve the AI needs of tomorrow' articulates a future state and invites others to contribute to building it. The company's strategic repositioning — from legacy telecom to AI infrastructure — is guided by this vision. However, the cause is new (since 2022) and has not been tested through leadership transitions, market crises, or multi-decade consistency. Sinek would note the promise but withhold the highest score until the cause proves durable.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Lumen has undergone massive organizational upheaval: divesting ILEC operations covering 20 states to Brightspeed, suspending the dividend in 2022, reducing headcount significantly from 40,000+ to approximately 25,000, and executing 'The Reset' strategy that involved radical cost-cutting [2]. While these decisions may have been strategically correct, they create an environment of uncertainty and fear that is antithetical to Sinek's Circle of Safety. New board appointments (Goldberg, McMillan) and cultural transformation efforts are underway, but organizational trust takes years to rebuild after this level of disruption.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Lumen's competitive language focuses on its transformation journey and unique fiber network assets rather than explicitly learning from competitors' strengths. No evidence of management publicly acknowledging AT&amp;T, Verizon, or other telecom and fiber competitors as worthy rivals whose strengths motivate improvement.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Lumen's transformation under Kate Johnson is a textbook example of Sinek's existential flexibility — the company is fundamentally reinventing itself from a declining legacy telecom (CenturyLink: voice, private line, copper-based services) into an AI-era fiber infrastructure company [2][3]. 'The Reset' involved divesting legacy ILEC operations, paying off $4.8 billion in high-interest debt, suspending the dividend, and pivoting the entire commercial strategy toward hyperscaler AI connectivity. The $13 billion in PCF contracts validates the pivot. This is precisely the kind of painful, business-destroying transformation Sinek envisions — abandoning the old business model to serve a Just Cause that demands a new one.</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Kate Johnson has demonstrated a pattern of courageous leadership decisions since taking over in November 2022 [2]. She inherited a company with $20 billion in debt, declining revenue, and a suspended dividend, and executed a series of painful but strategically correct moves: divesting ILEC operations, using proceeds to pay off $4.8 billion in high-interest debt, pivoting the commercial strategy to AI infrastructure, and personally buying 100,000 shares at $6.13 in August 2026 [2]. The willingness to bet her personal capital and career on a deeply troubled turnaround — backed by specific strategic execution ($13 billion in PCF contracts, 34 million new fiber miles) — represents exactly the leadership courage Sinek describes.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Lumen Technologies is executing one of the most compelling turnaround stories in telecom: strategic revenue grew 14% YoY in Q2 2026 and now represents 53% of total business revenue, driven by nearly $13 billion in Private Connectivity Fabric contracts serving hyperscaler AI data centers [1][3]. CEO Kate Johnson's 'Reset' strategy has successfully delevered the balance sheet from $20 billion to $13.5 billion in debt, pivoted the commercial strategy to AI infrastructure, and attracted value-oriented hedge fund positioning [2]. The company is adding 34 million new fiber miles by 2028, targeting the massive expansion of intercity and metro connectivity needed for AI workloads [3]. CEO insider buying ($613K in August 2026) signals management conviction. If strategic revenue growth continues to accelerate while legacy decline moderates, Lumen could reach total revenue inflection within 12-18 months. At a $6.85 billion market cap, the stock trades at a fraction of the $13 billion in contracted future revenue alone.</w:t>
      </w:r>
    </w:p>
    <w:p>
      <w:pPr>
        <w:spacing w:after="120"/>
      </w:pPr>
      <w:r>
        <w:rPr>
          <w:rFonts w:ascii="Calibri" w:hAnsi="Calibri"/>
          <w:b w:val="0"/>
          <w:color w:val="3A4A28"/>
          <w:sz w:val="20"/>
        </w:rPr>
        <w:t>The bear case is formidable: total revenue declined 9% YoY in Q2 2026 as legacy voice and private line revenue fell 15%, far exceeding the 14% strategic growth [1]. The company reported a net loss of $201 million in the quarter, forward P/E stands at an extreme 98x, net profit margin is -8.65%, ROE is -78.9%, and D/E of approximately 500% reflects a balance sheet that remains severely impaired despite the deleveraging [4]. The five-year revenue CAGR of -11.9% underscores the depth of the legacy decline that strategic growth must overcome. The dividend was suspended in 2022 and there is no timeline for reinstatement. The $13 billion in PCF contracts is total contract value, not annual revenue — these contracts are long-duration and the revenue recognition timeline remains uncertain. Competition from AT&amp;T, Verizon, and pure-play fiber providers for hyperscaler connectivity could compress margins on new contracts. The company's book equity has been decimated by years of losses and impairments, leaving the balance sheet fragile against any macroeconomic downturn or execution misstep.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Strategic revenue crossing 50%+ of total business revenue in Q2 2026 marks a tipping point — if the growth rate sustains at 14%, total revenue inflection could occur by mid-2027 as legacy decline moderates</w:t>
      </w:r>
    </w:p>
    <w:p>
      <w:pPr>
        <w:spacing w:before="40" w:after="40"/>
        <w:ind w:left="283"/>
      </w:pPr>
      <w:r>
        <w:rPr>
          <w:rFonts w:ascii="Calibri" w:hAnsi="Calibri"/>
          <w:b/>
          <w:color w:val="4A6B25"/>
          <w:sz w:val="20"/>
        </w:rPr>
        <w:t xml:space="preserve">2. </w:t>
      </w:r>
      <w:r>
        <w:rPr>
          <w:rFonts w:ascii="Calibri" w:hAnsi="Calibri"/>
          <w:b w:val="0"/>
          <w:color w:val="3A4A28"/>
          <w:sz w:val="20"/>
        </w:rPr>
        <w:t>Nearly $13 billion in Private Connectivity Fabric contract value providing multi-year revenue visibility as hyperscaler AI data center demand accelerates, with 34 million new fiber miles under construction by 2028</w:t>
      </w:r>
    </w:p>
    <w:p>
      <w:pPr>
        <w:spacing w:before="40" w:after="40"/>
        <w:ind w:left="283"/>
      </w:pPr>
      <w:r>
        <w:rPr>
          <w:rFonts w:ascii="Calibri" w:hAnsi="Calibri"/>
          <w:b/>
          <w:color w:val="4A6B25"/>
          <w:sz w:val="20"/>
        </w:rPr>
        <w:t xml:space="preserve">3. </w:t>
      </w:r>
      <w:r>
        <w:rPr>
          <w:rFonts w:ascii="Calibri" w:hAnsi="Calibri"/>
          <w:b w:val="0"/>
          <w:color w:val="3A4A28"/>
          <w:sz w:val="20"/>
        </w:rPr>
        <w:t>Continued balance sheet deleveraging from $13.5 billion in debt creates optionality for dividend reinstatement and reduces interest expense that currently erodes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Legacy voice and private line revenue declining at 15% annually could overwhelm the 14% strategic growth rate for multiple additional quarters, extending the period of total revenue contraction and net losses</w:t>
      </w:r>
    </w:p>
    <w:p>
      <w:pPr>
        <w:spacing w:before="40" w:after="40"/>
        <w:ind w:left="283"/>
      </w:pPr>
      <w:r>
        <w:rPr>
          <w:rFonts w:ascii="Calibri" w:hAnsi="Calibri"/>
          <w:b/>
          <w:color w:val="4A6B25"/>
          <w:sz w:val="20"/>
        </w:rPr>
        <w:t xml:space="preserve">2. </w:t>
      </w:r>
      <w:r>
        <w:rPr>
          <w:rFonts w:ascii="Calibri" w:hAnsi="Calibri"/>
          <w:b w:val="0"/>
          <w:color w:val="3A4A28"/>
          <w:sz w:val="20"/>
        </w:rPr>
        <w:t>D/E of approximately 500% and $13.5 billion in debt create severe refinancing risk if credit markets tighten or if Lumen's credit rating is downgraded, potentially forcing dilutive equity raises</w:t>
      </w:r>
    </w:p>
    <w:p>
      <w:pPr>
        <w:spacing w:before="40" w:after="40"/>
        <w:ind w:left="283"/>
      </w:pPr>
      <w:r>
        <w:rPr>
          <w:rFonts w:ascii="Calibri" w:hAnsi="Calibri"/>
          <w:b/>
          <w:color w:val="4A6B25"/>
          <w:sz w:val="20"/>
        </w:rPr>
        <w:t xml:space="preserve">3. </w:t>
      </w:r>
      <w:r>
        <w:rPr>
          <w:rFonts w:ascii="Calibri" w:hAnsi="Calibri"/>
          <w:b w:val="0"/>
          <w:color w:val="3A4A28"/>
          <w:sz w:val="20"/>
        </w:rPr>
        <w:t>Hyperscaler concentration risk — PCF contracts are likely concentrated among a small number of cloud providers (AWS, Microsoft, Google, Meta), creating revenue dependency on a handful of counterparties whose bargaining power exceeds Lumen's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Lumen's fiber network infrastructure is physical and cannot be replaced by AI — dark fiber, intercity backbone, and metro connectivity are the physical layer upon which AI operates [3]. AI data centers literally cannot function without the connectivity Lumen provides, and nearly $13 billion in Private Connectivity Fabric contracts from hyperscalers validates this demand [3]. Strategic revenue growing at 14% YoY is driven directly by AI-related demand for high-bandwidth 100 and 400 gig wave services, particularly from 'neocloud' customers [1]. However, the legacy telecom business (voice, private line) is declining at 15% and while this decline is secular rather than AI-driven, it represents a meaningful portion of current revenue that AI does not protect. The company is in a transition period where AI-benefiting strategic revenue must grow fast enough to offset legacy attrition. AI Opportunity (1/1): Lumen generates meaningful AI-related revenue through its PCF contracts serving hyperscaler data centers. Nearly $13 billion in total contract value is directly tied to AI infrastructure connectivity [3]. Strategic revenue reached 53% of total business revenue in Q2 2026, with growth specifically driven by AI workload demand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-75</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r>
        <w:rPr>
          <w:rFonts w:ascii="Calibri" w:hAnsi="Calibri"/>
          <w:b w:val="0"/>
          <w:color w:val="9DAF88"/>
          <w:sz w:val="17"/>
        </w:rPr>
        <w:t xml:space="preserve">  ·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Lumen Technologies Q2 2026 Earnings Release and Strategic Revenue Growth — ir.lumen.com, TradingView, Yahoo Finance, August 2026</w:t>
      </w:r>
    </w:p>
    <w:p>
      <w:pPr>
        <w:spacing w:before="20" w:after="20"/>
        <w:ind w:left="170"/>
      </w:pPr>
      <w:r>
        <w:rPr>
          <w:rFonts w:ascii="Calibri" w:hAnsi="Calibri"/>
          <w:b/>
          <w:color w:val="4A6B25"/>
          <w:sz w:val="15"/>
        </w:rPr>
        <w:t xml:space="preserve">2. </w:t>
      </w:r>
      <w:r>
        <w:rPr>
          <w:rFonts w:ascii="Calibri" w:hAnsi="Calibri"/>
          <w:b w:val="0"/>
          <w:color w:val="3A4A28"/>
          <w:sz w:val="17"/>
        </w:rPr>
        <w:t>Lumen Technologies CEO Kate Johnson, AI Pivot, Insider Buying, and Leadership — FinancialContent, WashingtonMorning, Motley Fool, InsiderMonkey,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Lumen Analyst Forum: AI-Era Transformation, PCF Strategy, and Fiber Expansion — Yahoo Finance, ir.lumen.com, Broadband Breakfast, November 2025</w:t>
      </w:r>
    </w:p>
    <w:p>
      <w:pPr>
        <w:spacing w:before="20" w:after="20"/>
        <w:ind w:left="170"/>
      </w:pPr>
      <w:r>
        <w:rPr>
          <w:rFonts w:ascii="Calibri" w:hAnsi="Calibri"/>
          <w:b/>
          <w:color w:val="4A6B25"/>
          <w:sz w:val="15"/>
        </w:rPr>
        <w:t xml:space="preserve">4. </w:t>
      </w:r>
      <w:r>
        <w:rPr>
          <w:rFonts w:ascii="Calibri" w:hAnsi="Calibri"/>
          <w:b w:val="0"/>
          <w:color w:val="3A4A28"/>
          <w:sz w:val="17"/>
        </w:rPr>
        <w:t>Lumen Technologies (LUMN) Financial Statistics and Valuation — StockAnalysis.com, Yahoo Finance, MacroTrends,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