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LYG</w:t>
      </w:r>
      <w:r>
        <w:rPr>
          <w:rFonts w:ascii="Calibri" w:hAnsi="Calibri"/>
          <w:b/>
          <w:color w:val="1A2010"/>
          <w:sz w:val="40"/>
        </w:rPr>
        <w:t xml:space="preserve">  Lloyds Banking Group plc</w:t>
      </w:r>
    </w:p>
    <w:p>
      <w:pPr>
        <w:spacing w:after="120"/>
      </w:pPr>
      <w:r>
        <w:rPr>
          <w:rFonts w:ascii="Calibri" w:hAnsi="Calibri"/>
          <w:b/>
          <w:color w:val="6E8450"/>
          <w:sz w:val="18"/>
        </w:rPr>
        <w:t>DIVIDEND SLEEVE · 2026-08-13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Kingdom</w:t>
      </w:r>
    </w:p>
    <w:p>
      <w:pPr>
        <w:spacing w:after="80"/>
      </w:pPr>
      <w:r>
        <w:rPr>
          <w:rFonts w:ascii="Calibri" w:hAnsi="Calibri"/>
          <w:b w:val="0"/>
          <w:color w:val="3A4A28"/>
          <w:sz w:val="20"/>
        </w:rPr>
        <w:t>Lloyds Banking Group is the UK's largest retail and commercial bank, operating through Lloyds Bank, Halifax, Bank of Scotland, and Scottish Widows across Retail, Commercial Banking, and Insurance segments. Serves 26M+ customers. CEO Charlie Nunn unveiled a 5-year growth strategy in July 2026 targeting c.GBP 5B net income growth at a mid-single-digit CAGR. H1 2026 delivered net income up 9% to GBP 9.7B, statutory profit after tax up 23% to GBP 3.1B, RoTE of 17.1%, and a 30% dividend increase.</w:t>
      </w:r>
    </w:p>
    <w:p>
      <w:r>
        <w:rPr>
          <w:rFonts w:ascii="Calibri" w:hAnsi="Calibri"/>
          <w:b/>
          <w:color w:val="6E8450"/>
          <w:sz w:val="18"/>
        </w:rPr>
        <w:t>60,000 Employees · https://www.lloydsbankinggroup.com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Lloyds has executed a significant multi-year transformation under CEO Charlie Nunn, diversifying beyond traditional banking into insurance, wealth management, and digital services — other income grew 11% YoY to GBP 3.3B in H1 2026, demonstrating the strategic pivot is delivering revenue [1]. The July 2026 5-year plan targets c.GBP 2B from strategic initiatives including wealth management (Embark integration), SME banking expansion, and insurance growth. The transformation is meaningful but incremental rather than category-defining. AI Deployment (2/2): Lloyds has 800+ AI models live in production and deployed agentic AI for real-time fraud detection in 2026, where multiple AI agents operate simultaneously during customer calls performing identity checks and transaction analysis [2]. The bank generated approximately GBP 50M in AI-attributable value in 2025 and targets GBP 100M+ for 2026. Market Share (1/2): Lloyds is the UK's largest retail bank by deposit share and mortgage market share, with 26M+ customers, but faces steady competitive pressure from neobanks (Monzo, Revolut, Starling) — share is stable rather than gaining [1]. Product Pipeline (0/2): No specific next-generation products with defined launch dates identified beyond general digital transformation, AI expansion, and the 5-year strategic plan pillars. R&amp;D Intensity (1/1): The bank hired 4,000+ technology and data specialists and is investing GBP 3B+ over the plan period in technology transformation, targeting 17.5% reduction in legacy applications and decommissioning 30%+ of data centers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Lloyds states its purpose as 'Helping Britain Prosper' — clear, geographically specific, and differentiates from generic banking missions by tying the institution's reason for being to national economic health [1]. CEO Charlie Nunn references it in the 5-year strategy and strategic decisions can be traced to it. However, the purpose was adopted in 2014 and has not been tested through multi-decade consistency; the bank's history includes the reckless 2008 HBOS merger and PPI mis-selling scandal (GBP 22B+ in remediation). Community Impact (2/2): Lloyds Bank Foundation has committed GBP 100M to its four charitable Foundations by 2030, launched a GBP 4.2M Financial Resilience Fund for small charities, pledged GBP 50M in lending to the Homewards homelessness programme, and delivered GBP 57B+ in sustainable financing since 2022 [3]. Employee Retention (1/2): Glassdoor rating of 3.6/5 with 63% of employees recommending Lloyds; reviews describe strong benefits and work-life balance but senior management culture is described as inconsistent, 'corporate,' and in some areas leaders are 'looking for reasons to push people out' [2]. Average for the banking industry. Insider Buying (0/2): No evidence of meaningful net insider buying by CEO Charlie Nunn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D/E excluded (yfinance returned null for this bank stock; bank leverage ratios reflect structural business model requirements, not financial distress). H1 2026 delivered total income of GBP 10.6B (NII GBP 7.3B up 9%, other income GBP 3.3B up 11%) with net interest margin expanding to 3.19% [1]. ROE of 8.74% on total equity is below the 15% target, though operating RoTE of 17.1% demonstrates strong returns on tangible equity [1][4]. Profit margin of 21.49% exceeds the 20% target. Forward P/E of ~11x is well below the 20x target, reflecting deep value pricing for UK banks [4]. Revenue growth YoY of ~9% nearly meets the 10% target and 5yr CAGR of ~7.7% is solid. Dividend metrics are supportive: payout ratio of ~42% near the 40% target, 30% dividend increase in H1 2026, yield of 3.51%, and strong 5yr dividend growth CAGR of ~25% reflecting recovery from the 2020 regulatory-mandated suspension [1]. Consecutive years paid (5 since 2021 restart) and growth (5) are limited by the COVID-era suspension. Liquidity floor clears easily with ~$115M+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Lloyds demonstrates mixed infinite game characteristics under Charlie Nunn's leadership. The 'Helping Britain Prosper' purpose provides a genuine anchor for strategic decisions, and the 5-year growth plan investing GBP 3B+ in technology with a mid-single-digit income CAGR target shows willingness to build for the long term. The CEO's competitive framing — explicitly stating Lloyds 'isn't playing the same game' as fintechs — reflects an infinite mindset. However, the bank's history includes the catastrophic HBOS merger (a finite-game acquisition), PPI mis-selling (GBP 22B+ in remediation), motor finance provisions (GBP 1.95B), and an ASA greenwashing ruling — a pattern of short-term practices requiring costly remediation that undermines the infinite game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'Helping Britain Prosper' is a genuine and distinctive purpose connecting Lloyds' banking operations to national economic wellbeing, and strategic decisions (GBP 57B sustainable financing, GBP 100M charitable foundations, homelessness lending) trace back to it [3]. CEO Nunn's 5-year plan explicitly frames growth through this lens. However, the purpose was adopted in 2014 and has not been validated through multi-decade consistency. The motor finance mis-selling (GBP 1.95B provisions) and PPI scandal (GBP 22B+) demonstrate the institution has not always lived its stated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Lloyds maintains ~60,000 employees with leadership stability under CEO Nunn since 2021, and invested in hiring 4,000+ technology specialists [2]. Glassdoor rating of 3.6/5 with 63% recommend rate is adequate but not exceptional. Reviews describe inconsistent culture — strong benefits and work-life balance at the organizational level, but some describe middle and senior management as 'corporate' and in some areas 'toxic,' with concerns about leaders pushing people out rather than supporting them [2]. No specific retention or voluntary turnover data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Nunn's competitive framing is explicitly infinite-minded — he stated Lloyds 'isn't playing the same game as upstart fintechs,' positioning the bank's advantage in relationship depth and cross-product penetration rather than trying to out-digitize Monzo or Revolut [2]. The 5-year plan acknowledges digital competitors' strengths in customer acquisition and uses that pressure to accelerate Lloyds' own digital transformation and strategic diversification.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Lloyds has evolved significantly — from a traditional bank that nearly collapsed under the HBOS merger, through nationalization and government ownership, to a rebuilt, focused UK retail and commercial franchise [1]. Under Nunn, the bank is expanding into wealth management (Embark), insurance (Scottish Widows), and digital banking. The target to reduce legacy applications by 17.5% and decommission 30%+ of data centers represents meaningful adaptation [2]. However, these are incremental evolutions within the existing banking model, not transformative reinventions driven by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Nunn has shown willingness to invest for the long term — the 5-year plan commits GBP 3B+ to technology transformation while simultaneously increasing the dividend 30%, demonstrating confidence in balancing reinvestment with shareholder returns [1]. The commitment to GBP 57B in sustainable financing and net-zero operations by 2030 represents costly long-term bets. However, the motor finance provisioning (GBP 1.95B) and PPI history suggest past leadership lacked courage to walk away from misaligned commission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Lloyds at ~11x forward earnings is a deeply valued UK banking franchise delivering accelerating profitability — H1 2026 net income grew 9% to GBP 9.7B with statutory profit after tax up 23% to GBP 3.1B, RoTE reached 17.1%, and the 30% dividend increase signals management confidence in sustainable earnings power [1]. The new 5-year growth strategy targets GBP 5B of incremental net income at a mid-single-digit CAGR, diversifying beyond traditional lending into wealth management, insurance, and SME banking with c.GBP 2B from strategic initiatives [1]. The 800+ AI models in production and GBP 100M+ AI value target for 2026 position Lloyds ahead of UK banking peers in operational efficiency [2]. As the UK's largest retail bank with 26M+ customers, Lloyds benefits from elevated interest rates expanding net interest margins to 3.19%, and the 3.51% dividend yield provides income support while the growth plan executes.</w:t>
      </w:r>
    </w:p>
    <w:p>
      <w:pPr>
        <w:spacing w:after="120"/>
      </w:pPr>
      <w:r>
        <w:rPr>
          <w:rFonts w:ascii="Calibri" w:hAnsi="Calibri"/>
          <w:b w:val="0"/>
          <w:color w:val="3A4A28"/>
          <w:sz w:val="20"/>
        </w:rPr>
        <w:t>The bear case centers on structural UK banking headwinds and remediation overhang. ROE of 8.74% on total equity remains below the ~10% cost of equity, meaning Lloyds destroys economic value despite reporting accounting profits — RoTE of 17.1% is the management-preferred metric but masks this reality [4]. The motor finance commission scandal carries GBP 1,950M provisioned with potential for further charges as FCA final rules take effect, and Lloyds has acknowledged the impact appears at the 'adverse end' of expectations [1]. The ASA's December 2024 greenwashing ruling and PPI precedent (GBP 22B+ total cost) demonstrate persistent regulatory and reputational risk [3]. Fintech competitors (Monzo with 10M+ UK customers, Revolut, Starling) continue eroding retail deposit share among younger demographics, threatening the low-cost funding base. The 5-year revenue growth targets depend on successful execution in wealth management and insurance, where Lloyds lacks the brand positioning and distribution advantages it enjoys in retail banking. UK economic sensitivity means any recession would rapidly increase loan losses across the GBP 450B+ loan book concentrated in residential mortgages.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Five-year growth strategy targeting GBP 5B incremental net income through expansion in wealth management, insurance, and SME banking — c.GBP 2B from strategic initiatives with specific revenue visibility through 2031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with 800+ models in production and GBP 100M+ AI value target for 2026, potentially driving cost-to-income ratio below 50% and structurally improving the bank's profitability profile [2]</w:t>
      </w:r>
    </w:p>
    <w:p>
      <w:pPr>
        <w:spacing w:before="40" w:after="40"/>
        <w:ind w:left="283"/>
      </w:pPr>
      <w:r>
        <w:rPr>
          <w:rFonts w:ascii="Calibri" w:hAnsi="Calibri"/>
          <w:b/>
          <w:color w:val="4A6B25"/>
          <w:sz w:val="20"/>
        </w:rPr>
        <w:t xml:space="preserve">3. </w:t>
      </w:r>
      <w:r>
        <w:rPr>
          <w:rFonts w:ascii="Calibri" w:hAnsi="Calibri"/>
          <w:b w:val="0"/>
          <w:color w:val="3A4A28"/>
          <w:sz w:val="20"/>
        </w:rPr>
        <w:t>30% dividend increase in H1 2026 with 3.51% yield and GBP 1.75B buyback program — continued progressive dividend policy signals management confidence in sustainable earnings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Motor finance redress costs escalating beyond the GBP 1,950M provision as FCA rules expand eligibility, potentially requiring billions in additional charges — Lloyds acknowledged the impact appears at the 'adverse end' of expectations [1]</w:t>
      </w:r>
    </w:p>
    <w:p>
      <w:pPr>
        <w:spacing w:before="40" w:after="40"/>
        <w:ind w:left="283"/>
      </w:pPr>
      <w:r>
        <w:rPr>
          <w:rFonts w:ascii="Calibri" w:hAnsi="Calibri"/>
          <w:b/>
          <w:color w:val="4A6B25"/>
          <w:sz w:val="20"/>
        </w:rPr>
        <w:t xml:space="preserve">2. </w:t>
      </w:r>
      <w:r>
        <w:rPr>
          <w:rFonts w:ascii="Calibri" w:hAnsi="Calibri"/>
          <w:b w:val="0"/>
          <w:color w:val="3A4A28"/>
          <w:sz w:val="20"/>
        </w:rPr>
        <w:t>UK economic slowdown compressing net interest margins as the Bank of England cuts rates, reducing the NII tailwind that drove the 2025-2026 performance acceleration and pressuring the 26M-customer mortgage book [1]</w:t>
      </w:r>
    </w:p>
    <w:p>
      <w:pPr>
        <w:spacing w:before="40" w:after="40"/>
        <w:ind w:left="283"/>
      </w:pPr>
      <w:r>
        <w:rPr>
          <w:rFonts w:ascii="Calibri" w:hAnsi="Calibri"/>
          <w:b/>
          <w:color w:val="4A6B25"/>
          <w:sz w:val="20"/>
        </w:rPr>
        <w:t xml:space="preserve">3. </w:t>
      </w:r>
      <w:r>
        <w:rPr>
          <w:rFonts w:ascii="Calibri" w:hAnsi="Calibri"/>
          <w:b w:val="0"/>
          <w:color w:val="3A4A28"/>
          <w:sz w:val="20"/>
        </w:rPr>
        <w:t>Fintech disruption from Monzo (10M+ UK customers), Revolut, and Starling eroding Lloyds' retail deposit franchise among customers under 40, threatening the low-cost funding base that supports net interest margins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Lloyds' core retail and commercial banking operations are structurally protected by regulatory moats (UK banking licenses, PRA/FCA oversight), customer switching costs (direct debits, mortgage lock-in, payroll deposit inertia), and physical infrastructure requirements [2]. Mortgage origination, SME lending, and insurance underwriting require human judgment, regulatory compliance, and local market knowledge that AI cannot fully replicate. However, fintech competitors leveraging AI for instant credit decisions, personalized savings, and frictionless payments (Monzo, Revolut, Starling) are eroding Lloyds' retail deposit base among younger demographics. CEO Charlie Nunn acknowledged the competitive threat but argues Lloyds 'isn't playing the same game' as digital challengers, positioning the bank's advantage in relationship depth and cross-product penetration [2]. Analysts do not flag AI as an existential threat but note margin pressure from digital competitors. AI Opportunity (1/1): Lloyds has 800+ AI models in production generating measurable value — GBP 50M in 2025 with a GBP 100M+ target for 2026 — and deployed agentic AI for real-time fraud protection, making it one of the most aggressive AI adopters among UK banks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Lloyds Banking Group H1 2026 Results &amp; 5-Year Growth Strategy — Net Income GBP 9.7B (+9%), Profit After Tax GBP 3.1B (+23%), RoTE 17.1%, NIM 3.19%, 30% Dividend Increase, July 2026</w:t>
      </w:r>
    </w:p>
    <w:p>
      <w:pPr>
        <w:spacing w:before="20" w:after="20"/>
        <w:ind w:left="170"/>
      </w:pPr>
      <w:r>
        <w:rPr>
          <w:rFonts w:ascii="Calibri" w:hAnsi="Calibri"/>
          <w:b/>
          <w:color w:val="4A6B25"/>
          <w:sz w:val="15"/>
        </w:rPr>
        <w:t xml:space="preserve">2. </w:t>
      </w:r>
      <w:r>
        <w:rPr>
          <w:rFonts w:ascii="Calibri" w:hAnsi="Calibri"/>
          <w:b w:val="0"/>
          <w:color w:val="3A4A28"/>
          <w:sz w:val="17"/>
        </w:rPr>
        <w:t>Lloyds Banking Group AI Strategy, Digital Transformation &amp; Culture — 800+ AI Models, Agentic AI Fraud Detection, CEO Charlie Nunn Competitive Positioning, Glassdoor Reviews, Diginomica Interview, 2025-2026</w:t>
      </w:r>
    </w:p>
    <w:p>
      <w:pPr>
        <w:spacing w:before="20" w:after="20"/>
        <w:ind w:left="170"/>
      </w:pPr>
      <w:r>
        <w:rPr>
          <w:rFonts w:ascii="Calibri" w:hAnsi="Calibri"/>
          <w:b/>
          <w:color w:val="4A6B25"/>
          <w:sz w:val="15"/>
        </w:rPr>
        <w:t xml:space="preserve">3. </w:t>
      </w:r>
      <w:r>
        <w:rPr>
          <w:rFonts w:ascii="Calibri" w:hAnsi="Calibri"/>
          <w:b w:val="0"/>
          <w:color w:val="3A4A28"/>
          <w:sz w:val="17"/>
        </w:rPr>
        <w:t>Lloyds Banking Group Community Impact &amp; ESG — GBP 100M Charitable Foundations, GBP 57B Sustainable Financing, ASA Greenwashing Ruling December 2024,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LYG Key Statistics: P/E 13.68, ROE 8.74%, Profit Margin 21.49%, Stock Price $5.14,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