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w:t>
      </w:r>
      <w:r>
        <w:rPr>
          <w:rFonts w:ascii="Calibri" w:hAnsi="Calibri"/>
          <w:b/>
          <w:color w:val="1A2010"/>
          <w:sz w:val="40"/>
        </w:rPr>
        <w:t xml:space="preserve">  Moelis &amp; Company</w:t>
      </w:r>
    </w:p>
    <w:p>
      <w:pPr>
        <w:spacing w:after="120"/>
      </w:pPr>
      <w:r>
        <w:rPr>
          <w:rFonts w:ascii="Calibri" w:hAnsi="Calibri"/>
          <w:b/>
          <w:color w:val="6E8450"/>
          <w:sz w:val="18"/>
        </w:rPr>
        <w:t>DIVIDEND SLEEVE · 2026-08-05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Moelis &amp; Company is a leading global independent investment bank providing strategic advisory services to corporations, financial sponsors, and governments across approximately 20 global offices. Founded by Ken Moelis in 2007 during the financial crisis, the firm specializes in mergers and acquisitions, recapitalizations, restructurings, and other corporate finance advisory services. In October 2025, co-founder Navid Mahmoodzadegan succeeded Ken Moelis as CEO. The firm reported record Q2 2026 revenues of $409.4 million, up 12% year-over-year, with an announced advisory pipeline up over 80% versus the prior year.</w:t>
      </w:r>
    </w:p>
    <w:p>
      <w:r>
        <w:rPr>
          <w:rFonts w:ascii="Calibri" w:hAnsi="Calibri"/>
          <w:b/>
          <w:color w:val="6E8450"/>
          <w:sz w:val="18"/>
        </w:rPr>
        <w:t>1,416 Employees · https://www.moelis.com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Moelis expanded from pure M&amp;A advisory into restructuring, capital markets, and private capital advisory over the past 5 years, but these are incremental extensions of the advisory model rather than transformative pivots [1]. The CEO transition from founder Ken Moelis to Navid Mahmoodzadegan represents a strategic shift from boutique to scaled institutional model, though the core business remains unchanged. AI Deployment (1/2): Peter Arnaboldi serves as Co-Chair of the Banker Innovation Committee responsible for AI implementation across the firm [2]. Internal AI tools assist with deal analysis and financial modeling, but no AI products are sold externally and no specific efficiency gains have been quantified publicly. Market Share (1/2): Moelis is a meaningful independent advisory player but ranks below Lazard, Evercore, and PJT Partners in league table positioning [1]. The firm is respected but not a category leader or fastest share gainer. Product Pipeline (0/2): No specific next-generation advisory products or services with defined timelines beyond general business expansion. R&amp;D Intensity (0/1): Investment banks do not invest in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Moelis articulates 'a deep commitment to fostering a collaborative and entrepreneurial environment that prioritizes exceptional client service and innovation' — generic professional services language interchangeable with any advisory firm, with no deeper purpose beyond serving clients and generating returns [2]. Community Impact (0/2): No evidence of distinctive charitable giving, foundation activity, or community investment programs identified in public filings or company materials. Employee Retention (0/2): Glassdoor shows 65% of employees would recommend Moelis, with a 2.5/5 work-life balance rating and 3.8/5 culture rating [2]. Since the October 2025 CEO transition, reviews describe a 'rapid move away from boutique identity' and report that 'most capable individuals have left as the culture has shifted significantly.' This suggests deteriorating rather than strong retention. Insider Buying (0/2): Ken Moelis has made 0 purchases and 11 sales of MC shares over the past 5 years, including a 9,712-share sale in February 2025 for approximately $718,688 [2]. Consistent insider selling signals alignment concerns.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Moelis operates with an estimated D/E of ~57%, well below the 70% target, reflecting a near-net-cash position ($281.6M cash vs. $267.7M debt) consistent with the capital-light advisory model [3]. ROE of 44.68% is exceptional, nearly 3x the 15% target, driven by high-margin advisory fees on a small equity base. Forward P/E of 15.67 is comfortably below the 20 target, and revenue growth of 12% YoY (Q2 2026) exceeds the 10% target [1]. Profit margin of 16.0% is below the 20% ideal, typical for advisory firms with high compensation ratios. Dividend metrics are mixed: the 3.79% yield and 12.50% 5-year dividend growth CAGR are strong, but the estimated 87% payout ratio is elevated (target ≤40%) and only ~2 consecutive years of growth reflect the M&amp;A cycle's impact on dividend progression. Twelve consecutive years of dividend payments since IPO provide a solid foundation.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Moelis operates as a fundamentally finite game player — a company whose purpose is advisory fee generation without a deeper cause. The CEO transition from visionary founder Ken Moelis to Navid Mahmoodzadegan has prioritized scaling the institutional model over preserving the boutique culture that differentiated the firm. Glassdoor reviews describing talent departures and cultural deterioration reveal an organization optimizing for near-term growth metrics rather than building to endure. The firm's 2007 founding during the financial crisis showed courage, but the current trajectory suggests 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Moelis was founded on the principle of independent, unconflicted financial advice — Ken Moelis left UBS in 2007 to build a firm free from the conflicts of bulge bracket banks with lending and trading operations. This is a meaningful business model differentiator but falls short of a Just Cause in Sinek's framework: it identifies how the company serves clients differently, not a vision of a future state so appealing that people sacrifice to advance it. The current shift from boutique to scaled institutional model under the new CEO dilutes even this differentiation, suggesting the purpose is evolving toward 'be bigger' rather than 'be different.'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Post-CEO transition, Glassdoor reviews describe significant cultural deterioration: the firm has 'rapidly moved away from its boutique identity, shifting towards a more scaled, institutional model' and 'many of the most capable individuals appear to have left as the culture has shifted significantly' [2]. A 2.5/5 work-life balance rating and only 65% recommendation rate suggest a demanding environment without strong trust. The leadership transition appears to have disrupted organizational stability rather than reinforcing it.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strategic pivot from boutique to institutional model suggests Moelis is trying to compete with larger independent banks (Lazard, Evercore) by becoming more like them, rather than using their strengths as motivation to improve its own distinctive offering [2]. This 'be bigger to compete' approach is a finite competitive mindset — Sinek would argue Moelis should double down on what made it unique rather than abandoning boutique identity to chase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founding of Moelis during the 2008 financial crisis was a genuine act of existential flexibility — starting a new advisory firm when the industry was in turmoil required conviction and strategic courage. The firm successfully navigated multiple M&amp;A cycles (2007-2021 boom, 2022-2023 bust, 2024-2026 recovery), demonstrating resilience. However, the core business model has remained unchanged — fee-based advisory — and the current pivot to institutional scale is incremental adaptation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Ken Moelis demonstrated genuine courage by leaving UBS to found an independent advisory firm during the worst financial crisis in a generation, building the firm from zero to over $1B in revenue [1]. The firm maintained its $0.60/quarter dividend through the 2022-2023 M&amp;A downturn when revenue fell 38%, showing commitment to shareholders during stress. However, the new CEO's rapid pivot away from the boutique culture that defined the firm suggests current leadership is prioritizing near-term growth metrics over long-term identity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Moelis delivered record Q2 2026 revenues of $409.4M (+12% YoY) with an advisory pipeline up 80%+ year-over-year, positioning for a strong H2 as the M&amp;A cycle continues recovering [1]. The forward P/E of 15.67 with a 3.79% dividend yield and 44.68% ROE offers value for an advisory firm operating near net-cash ($13.8M net cash position). Adjusted pre-tax margin improved to 18.6% in Q2, demonstrating operating leverage as revenue scales, and the 12.50% 5-year dividend growth CAGR reflects management's commitment to returning capital across the volatile M&amp;A cycle [3].</w:t>
      </w:r>
    </w:p>
    <w:p>
      <w:pPr>
        <w:spacing w:after="120"/>
      </w:pPr>
      <w:r>
        <w:rPr>
          <w:rFonts w:ascii="Calibri" w:hAnsi="Calibri"/>
          <w:b w:val="0"/>
          <w:color w:val="3A4A28"/>
          <w:sz w:val="20"/>
        </w:rPr>
        <w:t>The bear case centers on cultural deterioration and cyclical risk. Glassdoor reviews describe a 'rapid move away from boutique identity' under new CEO Navid Mahmoodzadegan, with reports that 'most capable individuals have left' — threatening the firm's core asset: its people [2]. Ken Moelis's consistent insider selling (11 sells, 0 buys over 5 years) raises alignment questions. Revenue collapsed 38% from the 2021 peak ($1,540.6M) to 2022 ($985.3M), and another M&amp;A downturn could replicate this compression. The estimated 87% payout ratio on GAAP earnings leaves thin dividend coverage if deal activity reverses, and AI tools for financial modeling and due diligence could structurally reduce demand for junior bankers, pressuring advisory economics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advisory pipeline (up 80%+ YoY at Q2 2026 end) converting to strong H2 revenue, potentially driving full-year results above consensus and triggering a valuation re-rating from the 15.67x forward P/E [1]</w:t>
      </w:r>
    </w:p>
    <w:p>
      <w:pPr>
        <w:spacing w:before="40" w:after="40"/>
        <w:ind w:left="283"/>
      </w:pPr>
      <w:r>
        <w:rPr>
          <w:rFonts w:ascii="Calibri" w:hAnsi="Calibri"/>
          <w:b/>
          <w:color w:val="4A6B25"/>
          <w:sz w:val="20"/>
        </w:rPr>
        <w:t xml:space="preserve">2. </w:t>
      </w:r>
      <w:r>
        <w:rPr>
          <w:rFonts w:ascii="Calibri" w:hAnsi="Calibri"/>
          <w:b w:val="0"/>
          <w:color w:val="3A4A28"/>
          <w:sz w:val="20"/>
        </w:rPr>
        <w:t>Expansion into private capital advisory and new business lines under the institutional model creates revenue diversification beyond traditional M&amp;A, reducing cyclical earnings volatility</w:t>
      </w:r>
    </w:p>
    <w:p>
      <w:pPr>
        <w:spacing w:before="40" w:after="40"/>
        <w:ind w:left="283"/>
      </w:pPr>
      <w:r>
        <w:rPr>
          <w:rFonts w:ascii="Calibri" w:hAnsi="Calibri"/>
          <w:b/>
          <w:color w:val="4A6B25"/>
          <w:sz w:val="20"/>
        </w:rPr>
        <w:t xml:space="preserve">3. </w:t>
      </w:r>
      <w:r>
        <w:rPr>
          <w:rFonts w:ascii="Calibri" w:hAnsi="Calibri"/>
          <w:b w:val="0"/>
          <w:color w:val="3A4A28"/>
          <w:sz w:val="20"/>
        </w:rPr>
        <w:t>Continued M&amp;A cycle recovery driven by pent-up deal activity, private equity sponsor exits, and corporate restructuring needs supports multi-year revenue tailwind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driving cultural deterioration and talent attrition — Glassdoor reports 'most capable individuals have left' since the leadership change, threatening the relationship-driven advisory model's core competitive advantage [2]</w:t>
      </w:r>
    </w:p>
    <w:p>
      <w:pPr>
        <w:spacing w:before="40" w:after="40"/>
        <w:ind w:left="283"/>
      </w:pPr>
      <w:r>
        <w:rPr>
          <w:rFonts w:ascii="Calibri" w:hAnsi="Calibri"/>
          <w:b/>
          <w:color w:val="4A6B25"/>
          <w:sz w:val="20"/>
        </w:rPr>
        <w:t xml:space="preserve">2. </w:t>
      </w:r>
      <w:r>
        <w:rPr>
          <w:rFonts w:ascii="Calibri" w:hAnsi="Calibri"/>
          <w:b w:val="0"/>
          <w:color w:val="3A4A28"/>
          <w:sz w:val="20"/>
        </w:rPr>
        <w:t>Cyclical M&amp;A market reversal from geopolitical shock or economic downturn would compress revenue 30-40% as demonstrated by the 2021-2022 collapse from $1,540.6M to $985.3M, with limited visibility into fee timing</w:t>
      </w:r>
    </w:p>
    <w:p>
      <w:pPr>
        <w:spacing w:before="40" w:after="40"/>
        <w:ind w:left="283"/>
      </w:pPr>
      <w:r>
        <w:rPr>
          <w:rFonts w:ascii="Calibri" w:hAnsi="Calibri"/>
          <w:b/>
          <w:color w:val="4A6B25"/>
          <w:sz w:val="20"/>
        </w:rPr>
        <w:t xml:space="preserve">3. </w:t>
      </w:r>
      <w:r>
        <w:rPr>
          <w:rFonts w:ascii="Calibri" w:hAnsi="Calibri"/>
          <w:b w:val="0"/>
          <w:color w:val="3A4A28"/>
          <w:sz w:val="20"/>
        </w:rPr>
        <w:t>AI-powered financial modeling and due diligence automation could structurally reduce demand for junior bankers and compress advisory fee pools, particularly as clients adopt AI tools that reduce reliance on external advisors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core value of M&amp;A advisory is relationship-driven — access to CEOs, boards, and PE sponsors, trusted counsel on complex strategic transactions, and negotiation skills that AI cannot replicate [2]. Regulatory complexity, deal confidentiality requirements, and the bespoke nature of advisory mandates create structural moats against AI displacement. However, AI tools for financial modeling, due diligence document review, and deal sourcing could reduce demand for junior bankers (analyst/associate level), pressuring the fee economics of advisory over time. AI-powered deal matching platforms represent an emerging competitive threat. Analysts have not flagged Moelis specifically for AI disruption risk, but the broader investment banking industry faces incremental AI exposure. AI Opportunity (0/1): Moelis has a Banker Innovation Committee deploying AI internally, but no quantifiable AI-related revenue or specific efficiency gains have been reported publicly.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Moelis &amp; Company Q2/H1 2026 Earnings Release — Record Revenue and Pipeline Growth, BusinessWire, July 29, 2026</w:t>
      </w:r>
    </w:p>
    <w:p>
      <w:pPr>
        <w:spacing w:before="20" w:after="20"/>
        <w:ind w:left="170"/>
      </w:pPr>
      <w:r>
        <w:rPr>
          <w:rFonts w:ascii="Calibri" w:hAnsi="Calibri"/>
          <w:b/>
          <w:color w:val="4A6B25"/>
          <w:sz w:val="15"/>
        </w:rPr>
        <w:t xml:space="preserve">2. </w:t>
      </w:r>
      <w:r>
        <w:rPr>
          <w:rFonts w:ascii="Calibri" w:hAnsi="Calibri"/>
          <w:b w:val="0"/>
          <w:color w:val="3A4A28"/>
          <w:sz w:val="17"/>
        </w:rPr>
        <w:t>Moelis &amp; Company Glassdoor Employee Reviews, Leadership Transition Announcement, and Insider Trading Data,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MC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