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MDXG</w:t>
      </w:r>
      <w:r>
        <w:rPr>
          <w:rFonts w:ascii="Calibri" w:hAnsi="Calibri"/>
          <w:b/>
          <w:color w:val="1A2010"/>
          <w:sz w:val="40"/>
        </w:rPr>
        <w:t xml:space="preserve">  MiMedx Group, Inc.</w:t>
      </w:r>
    </w:p>
    <w:p>
      <w:pPr>
        <w:spacing w:after="120"/>
      </w:pPr>
      <w:r>
        <w:rPr>
          <w:rFonts w:ascii="Calibri" w:hAnsi="Calibri"/>
          <w:b/>
          <w:color w:val="6E8450"/>
          <w:sz w:val="18"/>
        </w:rPr>
        <w:t>GROWTH SLEEVE · 2026-08-08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MiMedx Group is a regenerative and therapeutic biologics company focused on developing and marketing placental tissue allografts for surgical, wound care, and regenerative medicine applications. Core products include EPIFIX (for chronic wounds) and AmnioFix (for surgical applications), derived from donated human amniotic tissue. The company is pivoting from wound care toward higher-growth surgical biologics following Medicare reimbursement changes and recently announced the $350M acquisition of Sanara MedTech to expand into collagen, irrigation, and bone fixation technologies. Headquartered in Marietta, Georgia.</w:t>
      </w:r>
    </w:p>
    <w:p>
      <w:r>
        <w:rPr>
          <w:rFonts w:ascii="Calibri" w:hAnsi="Calibri"/>
          <w:b/>
          <w:color w:val="6E8450"/>
          <w:sz w:val="18"/>
        </w:rPr>
        <w:t>700 Employees · https://www.mimedx.com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MiMedx's surgical business grew 15% YoY in Q2 2026 with a 21% increase in the domestic particulate subsegment, representing a meaningful expansion of existing products into new clinical applications [1]. However, the wound care segment — historically the core business — collapsed 61% YoY following Medicare reimbursement changes, and the surgical growth is an incremental extension rather than a transformative pivot [1]. AI Deployment (0/2): The company uses Strategy AI for internal analytics and GenAI bots for surfacing insights, but has no customer-facing AI products and no quantified AI-driven savings [3]. Market Share (1/2): MiMedx is a meaningful player in the amniotic tissue allograft market with established surgical and wound care franchises, but faces competitive pressure from larger orthobiologics companies and regulatory headwinds [1][2]. Pipeline (1/2): The $350M Sanara MedTech acquisition announced July 2026 will add collagen, irrigation, and bone fixation technologies, creating a combined company expected to exceed $400M revenue with 20%+ adjusted EBITDA margin in 2027 [5]. R&amp;D Intensity (0/1): MiMedx is primarily a commercialization-focused company; R&amp;D intensity is below top-quartile for biotech/medtech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MiMedx's purpose centers on regenerative medicine — healing wounds and restoring tissue — which connects to a genuine healthcare mission. However, the mission statement is standard for the industry and not distinctively articulated beyond peers [3]. The company's history of SEC accounting fraud charges (2013-2017, $1.5M settlement) and allegations of pressuring healthcare providers to use medically unnecessary products on wounded veterans and diabetics severely undermine any claim to purposeful operation [4]. Community Impact (0/2): No evidence of significant charitable giving or community investment programs was identified. Employee Retention (0/2): Glassdoor rating of 3.2/5 based on 230 reviews reveals concerning cultural issues including high turnover, unclear expectations, dismissive management, and inconsistent communication [3]. Insider Buying (0/2): No evidence of meaningful net insider buying was found; CEO Joseph Capper joined January 2023 with equity compensation but no personal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Clean balance sheet with D/E of only 9% and net cash position of $100.4M ($118.9M cash vs $18.5M debt) [6]. ROE of 16.6% exceeds the 15% target, reflecting operational improvement under CEO Capper [6]. Revenue growth YoY is deeply negative at approximately -16.5% (2026 guidance $340-360M vs 2025 record $419M) due to the wound care Medicare reimbursement collapse [1][2]. Revenue growth 5yr CAGR of approximately 4% reflects the underlying growth trend dampened by the 2026 decline. Forward P/E of 24.5 is above the 20 target but reasonable for a medtech company repositioning toward surgical growth [6]. Profit margin of 8.8% is below the 20% target but consistent with the company's transition period and biologics pricing pressure [6]. Liquidity check passed: avg daily volume ~1.35M shares at $4.33 = $5.8M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MiMedx demonstrates predominantly finite game characteristics despite operating in a purpose-rich healthcare segment. The company's history of SEC accounting fraud, allegations of predatory sales practices targeting vulnerable patients, and Glassdoor-documented cultural dysfunction reveal an organization that has prioritized short-term revenue over sustainable value creation. CEO Capper is executing a necessary strategic pivot toward surgical biologics and the Sanara acquisition, but the company has not yet demonstrated the sustained, purpose-driven behavior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MiMedx operates in regenerative medicine with potential for genuine societal impact — healing chronic wounds in veterans, diabetics, and surgical patients. However, the SEC's 2019 accounting fraud charges against former CEO Pete Petit and former COO for prematurely recognizing revenue through undisclosed side arrangements with distributors, combined with allegations of pressuring healthcare providers to use products on patients inappropriately, demonstrate that the company historically operated to maximize revenue rather than advance a healing mission [4]. Under new leadership since 2023, the cause remains shallow and unproven.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(3.2/5, 230 reviews) describe persistent issues with leadership communication, high turnover, unclear expectations, and management dismissiveness toward employee input [3]. Multiple reviews cite a culture of blame rather than collaborative problem-solving. The legacy of executive-level fraud (former CEO and COO were charged) further undermines organizational trust. No evidence of employee empowerment, long tenure, or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MiMedx's competitive language focuses on market position and product advantage rather than learning from rivals. The company's aggressive non-compete litigation and predatory sales allegations suggest a finite, win-at-all-costs competitive approach rather than Sinek's model of using rivals to improve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MiMedx is executing a significant strategic pivot from wound care (historically ~60% of revenue) to surgical biologics as Medicare reimbursement changes devastated wound care sales (-61% YoY in Q2 2026) [1]. The $350M Sanara MedTech acquisition further transforms the company's product portfolio into collagen, irrigation, and bone fixation [5]. While these moves show real strategic flexibility, the wound care pivot was forced by regulatory changes rather than a proactive cause-driven decision, and the Sanara acquisition is opportunistic growth rather than purpose-driven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Joseph Capper has made courageous decisions under difficult circumstances — pursuing the $350M Sanara MedTech acquisition while navigating a 61% wound care revenue decline, choosing to invest in the surgical platform despite near-term earnings pressure [5][1]. Capper's track record at BioTelemetry, which he turned around and sold to Philips for $2.8B, demonstrates a pattern of long-term value creation [3]. However, his tenure at MiMedx is only 3.5 years, and the full measure of his leadership courage has not yet been tested through a complete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MiMedx is executing a strategic pivot from its declining wound care business toward higher-growth surgical biologics, with the surgical segment delivering 15% YoY growth and 21% domestic particulate growth in Q2 2026 [1]. The transformative $350M Sanara MedTech acquisition will create a combined company exceeding $400M revenue with 20%+ adjusted EBITDA margins in 2027, adding complementary collagen, irrigation, and bone fixation technologies [5]. The balance sheet is conservatively managed with $100.4M net cash and D/E of just 9%, providing financial flexibility through the transition [6]. At $4.33 per share, the stock is pricing in significant near-term headwinds but may not fully reflect the Sanara-enhanced growth trajectory.</w:t>
      </w:r>
    </w:p>
    <w:p>
      <w:pPr>
        <w:spacing w:after="120"/>
      </w:pPr>
      <w:r>
        <w:rPr>
          <w:rFonts w:ascii="Calibri" w:hAnsi="Calibri"/>
          <w:b w:val="0"/>
          <w:color w:val="3A4A28"/>
          <w:sz w:val="20"/>
        </w:rPr>
        <w:t>The bear case centers on execution risk across multiple dimensions: wound care revenue collapsed 61% YoY in Q2 2026 following Medicare reimbursement changes, dragging full-year 2026 guidance to $340-360M — a 17% decline from 2025's record $419M [1][2]. The Sanara acquisition introduces integration risk, $300M in new term loan debt, and management distraction during a challenging revenue transition. Profit margins of 8.8% are thin for a medtech company, and the forward P/E of 24.5x requires material execution improvement to justify. The company's governance history — SEC fraud charges, FDA compliance issues, and allegations of predatory sales practices — creates persistent reputational and legal tail risk [4]. Glassdoor's 3.2/5 rating signals cultural challenges that could impair the organization's ability to integrate Sanara successfully.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Sanara MedTech acquisition closing expected by year-end 2026, creating a combined platform exceeding $400M revenue with 20%+ EBITDA margins and complementary product portfolios in collagen, irrigation, and bone fixation</w:t>
      </w:r>
    </w:p>
    <w:p>
      <w:pPr>
        <w:spacing w:before="40" w:after="40"/>
        <w:ind w:left="283"/>
      </w:pPr>
      <w:r>
        <w:rPr>
          <w:rFonts w:ascii="Calibri" w:hAnsi="Calibri"/>
          <w:b/>
          <w:color w:val="4A6B25"/>
          <w:sz w:val="20"/>
        </w:rPr>
        <w:t xml:space="preserve">2. </w:t>
      </w:r>
      <w:r>
        <w:rPr>
          <w:rFonts w:ascii="Calibri" w:hAnsi="Calibri"/>
          <w:b w:val="0"/>
          <w:color w:val="3A4A28"/>
          <w:sz w:val="20"/>
        </w:rPr>
        <w:t>Surgical biologics segment sustaining 15%+ YoY growth driven by domestic particulate subsegment strength (21% growth) and expansion into new surgical applications with the existing EPIFIX/AmnioFix portfolio</w:t>
      </w:r>
    </w:p>
    <w:p>
      <w:pPr>
        <w:spacing w:before="40" w:after="40"/>
        <w:ind w:left="283"/>
      </w:pPr>
      <w:r>
        <w:rPr>
          <w:rFonts w:ascii="Calibri" w:hAnsi="Calibri"/>
          <w:b/>
          <w:color w:val="4A6B25"/>
          <w:sz w:val="20"/>
        </w:rPr>
        <w:t xml:space="preserve">3. </w:t>
      </w:r>
      <w:r>
        <w:rPr>
          <w:rFonts w:ascii="Calibri" w:hAnsi="Calibri"/>
          <w:b w:val="0"/>
          <w:color w:val="3A4A28"/>
          <w:sz w:val="20"/>
        </w:rPr>
        <w:t>Wound care revenue stabilization as Medicare reimbursement changes are fully absorbed and the combined company's broader product portfolio enables cross-selling into the chronic wound treatment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Wound care revenue decline may not stabilize — Medicare reimbursement changes represent a structural shift that could further compress the segment, and the Sanara acquisition may not offset the ongoing erosion</w:t>
      </w:r>
    </w:p>
    <w:p>
      <w:pPr>
        <w:spacing w:before="40" w:after="40"/>
        <w:ind w:left="283"/>
      </w:pPr>
      <w:r>
        <w:rPr>
          <w:rFonts w:ascii="Calibri" w:hAnsi="Calibri"/>
          <w:b/>
          <w:color w:val="4A6B25"/>
          <w:sz w:val="20"/>
        </w:rPr>
        <w:t xml:space="preserve">2. </w:t>
      </w:r>
      <w:r>
        <w:rPr>
          <w:rFonts w:ascii="Calibri" w:hAnsi="Calibri"/>
          <w:b w:val="0"/>
          <w:color w:val="3A4A28"/>
          <w:sz w:val="20"/>
        </w:rPr>
        <w:t>Integration risk from the $350M Sanara acquisition, including $300M new debt, management distraction, and potential culture clash, at a time when the core business is already under significant stress</w:t>
      </w:r>
    </w:p>
    <w:p>
      <w:pPr>
        <w:spacing w:before="40" w:after="40"/>
        <w:ind w:left="283"/>
      </w:pPr>
      <w:r>
        <w:rPr>
          <w:rFonts w:ascii="Calibri" w:hAnsi="Calibri"/>
          <w:b/>
          <w:color w:val="4A6B25"/>
          <w:sz w:val="20"/>
        </w:rPr>
        <w:t xml:space="preserve">3. </w:t>
      </w:r>
      <w:r>
        <w:rPr>
          <w:rFonts w:ascii="Calibri" w:hAnsi="Calibri"/>
          <w:b w:val="0"/>
          <w:color w:val="3A4A28"/>
          <w:sz w:val="20"/>
        </w:rPr>
        <w:t>Governance and legal tail risk from the company's history of SEC accounting fraud, FDA compliance issues, and predatory sales practice allegations that could resurface through ongoing litigation or regulatory 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MiMedx's core business — manufacturing and distributing placental tissue allografts for surgical and wound care applications — involves physical biological products that AI structurally cannot replace [1]. FDA-regulated biologics require complex manufacturing from donated human tissue, sterile processing, and clinical validation that create high barriers to any form of AI substitution. Surgical application of tissue allografts requires hands-on physician skill that AI cannot replicate. The only modest exposure is that AI-powered diagnostic tools could eventually optimize wound care protocols and reduce unnecessary procedures, potentially compressing demand in the wound care segment (which is already declining for other reasons) [1]. AI Opportunity (0/1): MiMedx uses Strategy AI and GenAI bots internally for analytics, but generates no revenue from AI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MiMedx Group Q2 2026 Earnings Call Highlights — GuruFocus /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MiMedx Q1 2026 Earnings and 2026 Revenue Guidance ($340-360M) — Seeking Alpha / StockTitan, April 2026</w:t>
      </w:r>
    </w:p>
    <w:p>
      <w:pPr>
        <w:spacing w:before="20" w:after="20"/>
        <w:ind w:left="170"/>
      </w:pPr>
      <w:r>
        <w:rPr>
          <w:rFonts w:ascii="Calibri" w:hAnsi="Calibri"/>
          <w:b/>
          <w:color w:val="4A6B25"/>
          <w:sz w:val="15"/>
        </w:rPr>
        <w:t xml:space="preserve">3. </w:t>
      </w:r>
      <w:r>
        <w:rPr>
          <w:rFonts w:ascii="Calibri" w:hAnsi="Calibri"/>
          <w:b w:val="0"/>
          <w:color w:val="3A4A28"/>
          <w:sz w:val="17"/>
        </w:rPr>
        <w:t>MiMedx Group CEO Joseph Capper Leadership and Strategy AI Implementation — Comparably / MiMedx Corporate /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SEC Charges MiMedx with Accounting Fraud; Former COO Sentenced — SEC.gov Press Release, November 2019; Ex-Employee Sales Practice Allegations — PRNewswire, 2024</w:t>
      </w:r>
    </w:p>
    <w:p>
      <w:pPr>
        <w:spacing w:before="20" w:after="20"/>
        <w:ind w:left="170"/>
      </w:pPr>
      <w:r>
        <w:rPr>
          <w:rFonts w:ascii="Calibri" w:hAnsi="Calibri"/>
          <w:b/>
          <w:color w:val="4A6B25"/>
          <w:sz w:val="15"/>
        </w:rPr>
        <w:t xml:space="preserve">5. </w:t>
      </w:r>
      <w:r>
        <w:rPr>
          <w:rFonts w:ascii="Calibri" w:hAnsi="Calibri"/>
          <w:b w:val="0"/>
          <w:color w:val="3A4A28"/>
          <w:sz w:val="17"/>
        </w:rPr>
        <w:t>MiMedx to Acquire Sanara MedTech in $350M Cash-and-Stock Deal — GlobeNewsWire / MiMedx Investor Relations, July 29, 2026</w:t>
      </w:r>
    </w:p>
    <w:p>
      <w:pPr>
        <w:spacing w:before="20" w:after="20"/>
        <w:ind w:left="170"/>
      </w:pPr>
      <w:r>
        <w:rPr>
          <w:rFonts w:ascii="Calibri" w:hAnsi="Calibri"/>
          <w:b/>
          <w:color w:val="4A6B25"/>
          <w:sz w:val="15"/>
        </w:rPr>
        <w:t xml:space="preserve">6. </w:t>
      </w:r>
      <w:r>
        <w:rPr>
          <w:rFonts w:ascii="Calibri" w:hAnsi="Calibri"/>
          <w:b w:val="0"/>
          <w:color w:val="3A4A28"/>
          <w:sz w:val="17"/>
        </w:rPr>
        <w:t>MiMedx Group (MDXG) Financial Statistics — StockAnalysis / Yahoo Finance / eToro,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