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MFA</w:t>
      </w:r>
      <w:r>
        <w:rPr>
          <w:rFonts w:ascii="Calibri" w:hAnsi="Calibri"/>
          <w:b/>
          <w:color w:val="1A2010"/>
          <w:sz w:val="40"/>
        </w:rPr>
        <w:t xml:space="preserve">  MFA Financial, Inc.</w:t>
      </w:r>
    </w:p>
    <w:p>
      <w:pPr>
        <w:spacing w:after="120"/>
      </w:pPr>
      <w:r>
        <w:rPr>
          <w:rFonts w:ascii="Calibri" w:hAnsi="Calibri"/>
          <w:b/>
          <w:color w:val="6E8450"/>
          <w:sz w:val="18"/>
        </w:rPr>
        <w:t>DIVIDEND SLEEVE · 2026-07-28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MFA Financial, Inc. is a self-advised real estate investment trust (REIT) primarily engaged in investing, on a leveraged basis, in residential mortgage assets including non-QM loans, business purpose loans, and agency mortgage-backed securities. Through its subsidiary Lima One Capital, MFA originates business purpose loans for residential real estate investors. Founded in 1998, headquartered in New York City.</w:t>
      </w:r>
    </w:p>
    <w:p>
      <w:r>
        <w:rPr>
          <w:rFonts w:ascii="Calibri" w:hAnsi="Calibri"/>
          <w:b/>
          <w:color w:val="6E8450"/>
          <w:sz w:val="18"/>
        </w:rPr>
        <w:t>350 Employees · https://www.mfafinancial.com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MFA's 2021 acquisition of Lima One Capital for approximately $470M was a significant strategic pivot, transforming the company from a passive MBS portfolio manager into a vertically integrated originator of business purpose loans — opening a direct origination revenue stream [1][2]. However, execution has been uneven with Q1 2026 distributable earnings lagging the $0.36/share dividend. AI Deployment (0/2): No evidence of AI-powered products or quantified AI-driven cost savings in origination or portfolio management [2]. Market Share (1/2): MFA maintains a meaningful presence in the non-QM and business purpose loan segments through Lima One, though it is a mid-size mortgage REIT with $956M market cap and is not a category leader [1]. Product Pipeline (1/2): Lima One's origination pipeline is at its highest level since 2024 and the wholesale channel is being relaunched, providing near-term revenue visibility for business purpose loan growth [2]. R&amp;D Intensity (0/1): Not applicable for a mortgage REIT; no proprietary technology development or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MFA's stated purpose is generic financial services language focused on generating attractive risk-adjusted returns for shareholders through residential mortgage investments — interchangeable with any mortgage REIT peer [3]. No distinctive vision of a future state beyond profit maximization. Community Impact (0/2): No evidence of significant charitable foundations, community investment programs, or philanthropic initiatives in public filings or corporate website [3]. Employee Retention (1/2): MFA Financial has been certified as a Great Place to Work, indicating above-average employee satisfaction for a small financial firm with approximately 350 employees [4]. However, no specific tenure, turnover, or retention data is publicly available. Insider Buying (0/2): No evidence of meaningful net insider buying by CEO Craig Knutson or other executives in the last 12 months; CEO equity compensation is standard alignment, not an open-market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8.40 is very attractive, well below the 20 target, and profit margin of 46.72% scores at the ceiling, reflecting the spread-based earnings model of a mortgage REIT [1][5]. However, debt-to-equity of 625.72% far exceeds the 300% floor (scoring 0), and the 161.8% payout ratio indicates the $0.36/share quarterly dividend is not covered by current GAAP earnings [1][5]. ROE of 7.44% is well below the 15% target at 0.50 metric score. Consecutive years paid of 27 (since 1999, with brief COVID suspension) scores at ceiling with 2x weight, but 5yr dividend CAGR of -1.7% scores 0 at 2x weight, reflecting the 2023 cut from $0.44 to $0.35. Revenue forecast to decline 5.7% annually. Liquidity adequate: 2M avg daily volume x $9.50 = $19M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MFA Financial operates with a finite mindset focused on generating quarterly distributable earnings to cover its dividend. The company lacks a Just Cause beyond profit maximization, and strategic decisions — including the Lima One acquisition — appear driven by yield optimization rather than a vision of a better future. The high payout ratio and leverage create pressure to prioritize short-term income over long-term resilience.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MFA exists to generate returns for shareholders through leveraged residential mortgage investments. There is no articulated vision of a future state that extends beyond profit — the company's purpose is interchangeable with any mortgage REIT [3]. CEO Craig Knutson's public commentary focuses on portfolio growth, earnings convergence, and dividend coverage — entirely finite metrics [2]. Sinek would classify MFA as a company playing to win this quarter, not to keep playing.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MFA Financial has been certified as a Great Place to Work, indicating positive employee sentiment for a small financial firm with approximately 350 employees [4]. The small team size and specialized mortgage expertise likely create closer working relationships than larger financial institutions. However, no specific evidence of exceptional trust, empowerment, or long average tenure was found beyond the certification.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MFA's competitive language focuses on portfolio returns, yield targets, and market positioning relative to peer mortgage REITs — standard finite competitive framing [2]. No management commentary referencing learning from competitors or using rivals' strengths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Lima One acquisition in 2021 demonstrated meaningful strategic flexibility, moving MFA from a passive MBS portfolio manager to an integrated originator-investor model [2]. This was a genuine business model evolution, not a cosmetic change. However, the pivot was incremental rather than transformative — MFA still operates as a leveraged mortgage REIT — and the execution challenges (dividend coverage gaps, Q1 2026 revenue down 47% YoY) suggest the adaptation is incomplete.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acquire Lima One for ~$470M during COVID-era market disruption represented a significant bet on vertical integration when many mortgage REITs were de-risking [2]. Management has also maintained the $0.36/share dividend despite distributable earnings shortfalls, signaling confidence in convergence. However, maintaining an uncovered dividend could also reflect a reluctance to make the hard decision to right-size the distribution — the 2023 cut from $0.44 to $0.35 demonstrates eventual capitulation.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MFA Financial trades at an attractive forward P/E of 8.40 with a 15.27% dividend yield, offering significant income for investors willing to accept mortgage REIT risk [1][5]. The Lima One origination platform provides a differentiated source of business purpose loans with the wholesale channel relaunch expected to drive higher origination volumes in H2 2026, and management projects distributable earnings will converge with the $0.36/share quarterly dividend as these strategic initiatives gain traction [2]. Profit margin of 46.72% demonstrates the spread-based earnings model works when conditions are favorable, and the 27-year dividend payment history shows institutional commitment to income generation through multiple cycles.</w:t>
      </w:r>
    </w:p>
    <w:p>
      <w:pPr>
        <w:spacing w:after="120"/>
      </w:pPr>
      <w:r>
        <w:rPr>
          <w:rFonts w:ascii="Calibri" w:hAnsi="Calibri"/>
          <w:b w:val="0"/>
          <w:color w:val="3A4A28"/>
          <w:sz w:val="20"/>
        </w:rPr>
        <w:t>The bear case centers on the 161.8% payout ratio — the dividend is simply not covered by current GAAP earnings, and the 625.72% debt-to-equity ratio leaves no margin for error if credit conditions deteriorate [1][5]. Q1 2026 revenue of $42.9M was down 47% YoY with a $0.11 loss per share, and the ROE of 7.44% is well below the cost of equity for a leveraged REIT [1]. The 5yr dividend CAGR of -1.7% reflects the 2023 cut from $0.44 to $0.35, demonstrating the vulnerability of the income stream. The company's thesis depends entirely on Lima One origination volumes ramping and net interest margins stabilizing — if either fails, a second dividend cut becomes inevitable, which would likely trigger significant stock price decline given that the yield is the primary investment case. Interest rate volatility and non-QM credit risk add further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Lima One wholesale channel relaunch driving higher business purpose loan origination volumes and mortgage banking income through H2 2026 [2]</w:t>
      </w:r>
    </w:p>
    <w:p>
      <w:pPr>
        <w:spacing w:before="40" w:after="40"/>
        <w:ind w:left="283"/>
      </w:pPr>
      <w:r>
        <w:rPr>
          <w:rFonts w:ascii="Calibri" w:hAnsi="Calibri"/>
          <w:b/>
          <w:color w:val="4A6B25"/>
          <w:sz w:val="20"/>
        </w:rPr>
        <w:t xml:space="preserve">2. </w:t>
      </w:r>
      <w:r>
        <w:rPr>
          <w:rFonts w:ascii="Calibri" w:hAnsi="Calibri"/>
          <w:b w:val="0"/>
          <w:color w:val="3A4A28"/>
          <w:sz w:val="20"/>
        </w:rPr>
        <w:t>Distributable earnings convergence with the $0.36/share quarterly dividend as Lima One's origination pipeline — at highest levels since 2024 — converts to funded loans [2]</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stabilization improving net interest margins on the leveraged mortgage portfolio and reducing book value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payout ratio of 161.8% is unsustainable — Q1 2026 showed a $0.11/share loss, and failure of the convergence thesis would likely force a second dividend cut after the 2023 reduction from $0.44 to $0.35 [1][5]</w:t>
      </w:r>
    </w:p>
    <w:p>
      <w:pPr>
        <w:spacing w:before="40" w:after="40"/>
        <w:ind w:left="283"/>
      </w:pPr>
      <w:r>
        <w:rPr>
          <w:rFonts w:ascii="Calibri" w:hAnsi="Calibri"/>
          <w:b/>
          <w:color w:val="4A6B25"/>
          <w:sz w:val="20"/>
        </w:rPr>
        <w:t xml:space="preserve">2. </w:t>
      </w:r>
      <w:r>
        <w:rPr>
          <w:rFonts w:ascii="Calibri" w:hAnsi="Calibri"/>
          <w:b w:val="0"/>
          <w:color w:val="3A4A28"/>
          <w:sz w:val="20"/>
        </w:rPr>
        <w:t>Debt-to-equity of 625.72% amplifies sensitivity to credit deterioration — rising delinquencies in non-QM or business purpose loans could rapidly erode book value and trigger margin calls [5]</w:t>
      </w:r>
    </w:p>
    <w:p>
      <w:pPr>
        <w:spacing w:before="40" w:after="40"/>
        <w:ind w:left="283"/>
      </w:pPr>
      <w:r>
        <w:rPr>
          <w:rFonts w:ascii="Calibri" w:hAnsi="Calibri"/>
          <w:b/>
          <w:color w:val="4A6B25"/>
          <w:sz w:val="20"/>
        </w:rPr>
        <w:t xml:space="preserve">3. </w:t>
      </w:r>
      <w:r>
        <w:rPr>
          <w:rFonts w:ascii="Calibri" w:hAnsi="Calibri"/>
          <w:b w:val="0"/>
          <w:color w:val="3A4A28"/>
          <w:sz w:val="20"/>
        </w:rPr>
        <w:t>Revenue forecast to decline 5.7% annually with Q1 2026 already down 47% YoY, demonstrating extreme sensitivity to interest rate movements and credit market conditions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MFA's core business — deploying capital into residential mortgage assets and managing leveraged portfolios — requires actual financial capital, regulatory compliance (REIT structure, SEC reporting), and human judgment on credit risk that AI cannot substitute [1][2]. The Lima One origination platform involves physical property evaluation, borrower relationship management, and complex underwriting for non-QM and business purpose loans that remain protected from AI displacement. No analyst reports flag AI as a substitution risk for mortgage REITs. However, AI-enhanced fintech competitors could improve origination efficiency and compress margins in business purpose lending over time. AI Opportunity (0/1): No evidence of AI-generated revenue or AI-powered products. MFA has not discussed deploying AI tools for underwriting automation or portfolio optimization in public filings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MFA Financial Q1 2026 Earnings Release — $42.9M revenue (down 47% YoY), $0.11 loss per share,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MFA Financial Q1 2026 Investor Presentation — Lima One pipeline update, wholesale channel relaunch, earnings convergence guidance,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MFA Financial Inc. Corporate Website — mfafinancial.com, mission and strategy,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Great Place to Work — MFA Financial Certification, greatplacetowork.com,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MFA Key Statistics: P/E 10.69, Forward P/E 8.40, D/E 625.72%, ROE 7.44%, Profit Margin 46.72%,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