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MIMI</w:t>
      </w:r>
      <w:r>
        <w:rPr>
          <w:rFonts w:ascii="Calibri" w:hAnsi="Calibri"/>
          <w:b/>
          <w:color w:val="1A2010"/>
          <w:sz w:val="40"/>
        </w:rPr>
        <w:t xml:space="preserve">  Mint Incorporation Limited</w:t>
      </w:r>
    </w:p>
    <w:p>
      <w:pPr>
        <w:spacing w:after="120"/>
      </w:pPr>
      <w:r>
        <w:rPr>
          <w:rFonts w:ascii="Calibri" w:hAnsi="Calibri"/>
          <w:b/>
          <w:color w:val="6E8450"/>
          <w:sz w:val="18"/>
        </w:rPr>
        <w:t>GROWTH SLEEVE · 2026-08-26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Hong Kong</w:t>
      </w:r>
    </w:p>
    <w:p>
      <w:pPr>
        <w:spacing w:after="80"/>
      </w:pPr>
      <w:r>
        <w:rPr>
          <w:rFonts w:ascii="Calibri" w:hAnsi="Calibri"/>
          <w:b w:val="0"/>
          <w:color w:val="3A4A28"/>
          <w:sz w:val="20"/>
        </w:rPr>
        <w:t>Mint Incorporation Limited is a British Virgin Islands holding company operating through its Hong Kong subsidiary Matter Interiors Limited, a small interior fit-out and construction contractor. In 2025, CEO Hoi Lung Chan founded Axonex Intelligence Limited to pivot the company into AI infrastructure, robotics, and smart facility management, launching a prototype robotics product (FLOKI MinIBot M1) targeting the AI robotics and smart cities market [1][2]. The core legacy business remains small, declining, and unprofitable.</w:t>
      </w:r>
    </w:p>
    <w:p>
      <w:r>
        <w:rPr>
          <w:rFonts w:ascii="Calibri" w:hAnsi="Calibri"/>
          <w:b/>
          <w:color w:val="6E8450"/>
          <w:sz w:val="18"/>
        </w:rPr>
        <w:t>https://www.mimintinc.com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Mint has not executed multiple successful launches — its AI robotics pivot via Axonex Intelligence is less than a year old and remains at the prototype stage, with no commercialized product revenue reported [2]. AI Deployment (1/2): The FLOKI MinIBot M1 was showcased as a prototype at the BETT UK education technology show in early 2026, but is not yet shipping to customers or generating quantified savings/revenue — this is 'exploration announced' rather than deployment [1]. Market Share (0/2): The legacy interior fit-out business is a commodity participant in a fragmented Hong Kong construction market with no differentiated share position. Product Pipeline (1/2): FLOKI MinIBot M1 is a named product with a public demonstration, but no confirmed commercial launch date or revenue visibility has been disclosed. R&amp;D Intensity (0/1): No R&amp;D spending data was found; the company's TTM revenue of $3.1M and net loss of $1.5M leave little evident capacity for above-average R&amp;D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Chan's stated vision to 'transform the built environment through innovation' and build 'sustainable, intelligent, human-centric spaces' is generic language interchangeable with many construction and PropTech peers, with no track record yet to validate it [2]. Community Impact (0/2): No evidence of charitable giving or community investment was found. Employee Retention (0/2): No retention or tenure data is available; the board itself averages only 0.8 years of tenure, indicating a very new and unproven organization [2]. Insider Buying (0/2): No evidence of net insider buying was found — research instead flagged that CEO compensation increased even as the company remains unprofitable, a governance yellow flag rather than a conviction signal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Mint clears the liquidity floor (avg daily volume of 1.73M shares × $1.88 = ~$3.25M, above the $1M threshold) but scores poorly on nearly every fundamental. Debt-to-equity of 32.86% is comfortably below the 70% target (full credit), but return on equity is deeply negative (roughly -227%, reflecting a tiny/eroded equity base) and profit margin is approximately -47.9% on TTM revenue of just $3.1M against a $1.5M net loss [1]. Revenue growth YoY of -32.4% (yfinance) is consistent with the -25.48% FY2024 decline reported by StockAnalysis, both well below the -20% floor. Forward P/E, 5-year revenue CAGR, and Forward PEG are unavailable given the company's small size and lack of consistent profitability, and are excluded from the weighted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Sinek would see Mint as a company still searching for a cause rather than living one. The pivot from Hong Kong interior fit-out into AI robotics and smart cities is recent, unproven, and not yet tested by any real market or financial stress. A board with 0.8 years' average tenure, rising CEO pay amid ongoing losses, and no evidence of community investment or employee-centered culture point to an organization optimizing for a growth narrative rather than a decades-long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stated ambition to build 'sustainable, intelligent, human-centric spaces' gestures at something bigger than the construction business, but it reads as marketing copy attached after the fact to justify a strategic pivot, not a cause that has shaped years of decisions [2]. There is no track record of the company sacrificing near-term results to advance this vision.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board's 0.8-year average tenure signals a recently reconstituted organization with no established track record of psychological safety or employee empowerment, and no retention or tenure data is available for the broader workforce [2]. Rising executive compensation during a period of losses is more consistent with self-protective governance than a high-trust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from management frames competitors as sources of improvement; there is no evidence either way of a 'beat the rivals' mindset versus a learning orientation, reflecting the company's very limited public track record rather than a considered competitive philosophy.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Founding Axonex Intelligence and launching a robotics prototype represents a real attempt to move the company's identity beyond construction fit-out and into AI/robotics — a business-model shift, not just a product extension [1][2]. It is incremental and unproven rather than a validated transformative pivot, since the legacy business still generates the company's revenue and continues to decline.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surfaced of leadership sacrificing near-term earnings for long-term capability; instead, research flagged CEO compensation rising while the company remains unprofitable, which Sinek would read as leadership protecting its own position rather than absorbing cost for the mission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Mint is a speculative micro-cap turnaround story: a declining, unprofitable Hong Kong interior fit-out contractor (TTM revenue $3.1M, down double digits YoY) attempting to reinvent itself as an AI robotics and smart-facility company through the newly founded Axonex Intelligence subsidiary [1][2]. The FLOKI MinIBot M1 prototype, shown publicly at the BETT UK education technology show in early 2026, gives the company a toehold narrative in the AI robotics theme that could attract speculative interest if a commercial product materializes.</w:t>
      </w:r>
    </w:p>
    <w:p>
      <w:pPr>
        <w:spacing w:after="120"/>
      </w:pPr>
      <w:r>
        <w:rPr>
          <w:rFonts w:ascii="Calibri" w:hAnsi="Calibri"/>
          <w:b w:val="0"/>
          <w:color w:val="3A4A28"/>
          <w:sz w:val="20"/>
        </w:rPr>
        <w:t>The bear case dominates the picture today. Revenue is shrinking (-32.4% YoY per yfinance, -25.48% per FY2024 filings), the company is running a roughly -48% net margin, and return on equity is deeply negative, reflecting a business that has not found a profitable footing in either its legacy or its new AI ambitions [1]. Governance is a concern: a board with under one year of average tenure and rising CEO compensation amid continued losses suggest the AI pivot may be more narrative than substance at this stage. With no meaningful AI revenue, no analyst coverage, and thin trading liquidity just above the IOWN floor, this is a name to watch from the sidelines rather than 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Any confirmed commercial order or revenue contract for the FLOKI MinIBot M1 robotics line would be the first hard evidence the AI pivot is more than a prototype demonstration [1][2]</w:t>
      </w:r>
    </w:p>
    <w:p>
      <w:pPr>
        <w:spacing w:before="40" w:after="40"/>
        <w:ind w:left="283"/>
      </w:pPr>
      <w:r>
        <w:rPr>
          <w:rFonts w:ascii="Calibri" w:hAnsi="Calibri"/>
          <w:b/>
          <w:color w:val="4A6B25"/>
          <w:sz w:val="20"/>
        </w:rPr>
        <w:t xml:space="preserve">2. </w:t>
      </w:r>
      <w:r>
        <w:rPr>
          <w:rFonts w:ascii="Calibri" w:hAnsi="Calibri"/>
          <w:b w:val="0"/>
          <w:color w:val="3A4A28"/>
          <w:sz w:val="20"/>
        </w:rPr>
        <w:t>Stabilization or reversal of the legacy interior fit-out business's revenue decline (-32.4% YoY) would reduce reliance on an unproven new business line</w:t>
      </w:r>
    </w:p>
    <w:p>
      <w:pPr>
        <w:spacing w:before="40" w:after="40"/>
        <w:ind w:left="283"/>
      </w:pPr>
      <w:r>
        <w:rPr>
          <w:rFonts w:ascii="Calibri" w:hAnsi="Calibri"/>
          <w:b/>
          <w:color w:val="4A6B25"/>
          <w:sz w:val="20"/>
        </w:rPr>
        <w:t xml:space="preserve">3. </w:t>
      </w:r>
      <w:r>
        <w:rPr>
          <w:rFonts w:ascii="Calibri" w:hAnsi="Calibri"/>
          <w:b w:val="0"/>
          <w:color w:val="3A4A28"/>
          <w:sz w:val="20"/>
        </w:rPr>
        <w:t>Board or governance changes that add experienced independent directors could address the current 0.8-year average board tenure red flag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cash burn on a $3.1M TTM revenue base with a roughly -48% net margin raises going-concern and dilution risk if the AI robotics pivot does not reach commercial scale [1]</w:t>
      </w:r>
    </w:p>
    <w:p>
      <w:pPr>
        <w:spacing w:before="40" w:after="40"/>
        <w:ind w:left="283"/>
      </w:pPr>
      <w:r>
        <w:rPr>
          <w:rFonts w:ascii="Calibri" w:hAnsi="Calibri"/>
          <w:b/>
          <w:color w:val="4A6B25"/>
          <w:sz w:val="20"/>
        </w:rPr>
        <w:t xml:space="preserve">2. </w:t>
      </w:r>
      <w:r>
        <w:rPr>
          <w:rFonts w:ascii="Calibri" w:hAnsi="Calibri"/>
          <w:b w:val="0"/>
          <w:color w:val="3A4A28"/>
          <w:sz w:val="20"/>
        </w:rPr>
        <w:t>The company has no track record in AI/robotics and faces well-capitalized competitors in smart facility management and service robotics, with no market share or differentiated technology demonstrated yet [2]</w:t>
      </w:r>
    </w:p>
    <w:p>
      <w:pPr>
        <w:spacing w:before="40" w:after="40"/>
        <w:ind w:left="283"/>
      </w:pPr>
      <w:r>
        <w:rPr>
          <w:rFonts w:ascii="Calibri" w:hAnsi="Calibri"/>
          <w:b/>
          <w:color w:val="4A6B25"/>
          <w:sz w:val="20"/>
        </w:rPr>
        <w:t xml:space="preserve">3. </w:t>
      </w:r>
      <w:r>
        <w:rPr>
          <w:rFonts w:ascii="Calibri" w:hAnsi="Calibri"/>
          <w:b w:val="0"/>
          <w:color w:val="3A4A28"/>
          <w:sz w:val="20"/>
        </w:rPr>
        <w:t>Thin trading liquidity (~$3.25M daily dollar volume) and micro-cap size (~$25M market cap) create elevated volatility and execution risk for any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Mint's legacy business — Hong Kong interior fit-out and construction via Matter Interiors — involves physical on-site labor and project management that AI tools cannot directly substitute, giving the core business structural protection from displacement [1]. However, the company's pivot toward AI robotics is itself unproven and could just as easily be disrupted by better-funded competitors, and no analyst coverage exists to confirm the AI risk profile given the stock's micro-cap size. AI Opportunity (0/1): The FLOKI MinIBot M1 robotics prototype has not generated any quantified AI-related revenue; it remains a demonstration product with no disclosed sales figures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Mint Incorporation (MIMI) TTM revenue $3.1M, FY2024 revenue $3.27M (-25.48% YoY), net loss $1.5M — StockAnalysis.com, TipRanks,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Mint Incorporation Limited leadership, Axonex Intelligence founding, FLOKI MinIBot M1 launch at BETT UK Show, board tenure 0.8 years — Simply Wall St Management Analysis, mimintinc.com,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MIMI key statistics: price $1.88, D/E 32.86%, ROE -227%, revenue growth YoY -32.4%, avg daily volume 1.73M shares,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