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MPLX</w:t>
      </w:r>
      <w:r>
        <w:rPr>
          <w:rFonts w:ascii="Calibri" w:hAnsi="Calibri"/>
          <w:b/>
          <w:color w:val="1A2010"/>
          <w:sz w:val="40"/>
        </w:rPr>
        <w:t xml:space="preserve">  MPLX LP</w:t>
      </w:r>
    </w:p>
    <w:p>
      <w:pPr>
        <w:spacing w:after="120"/>
      </w:pPr>
      <w:r>
        <w:rPr>
          <w:rFonts w:ascii="Calibri" w:hAnsi="Calibri"/>
          <w:b/>
          <w:color w:val="6E8450"/>
          <w:sz w:val="18"/>
        </w:rPr>
        <w:t>DIVIDEND SLEEVE · 2026-07-25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MPLX LP is a midstream energy master limited partnership that owns and operates crude oil and natural gas gathering, processing, transportation, and logistics infrastructure across the United States. Operating through Crude Oil and Products Logistics and Natural Gas and NGL Services segments, MPLX serves as the midstream arm of Marathon Petroleum Corporation. The company operates pipelines, terminals, storage caverns, processing plants, and an inland marine fleet.</w:t>
      </w:r>
    </w:p>
    <w:p>
      <w:r>
        <w:rPr>
          <w:rFonts w:ascii="Calibri" w:hAnsi="Calibri"/>
          <w:b/>
          <w:color w:val="6E8450"/>
          <w:sz w:val="18"/>
        </w:rPr>
        <w:t>https://www.mplx.com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MPLX delivered full-year 2025 net income of $4.9B and adjusted EBITDA of $7.0B on revenue of $11.82B, with Q1 2026 EBITDA of $1.7B [1][2]. Growth is driven by organic throughput increases and bolt-on acquisitions rather than transformative innovation. Full-year 2025 growth investments totaled $5.5B and capital returned to unitholders was $4.4B [2]. AI Deployment (1/2): MPLX announced a collaboration with MARA Holdings to build integrated power generation and data center campuses in West Texas, supplying natural gas from Delaware Basin processing plants to fuel 400 MW of gas-fired power with potential expansion to 1.5 GW for AI and high-performance computing workloads [3]. Early-stage but represents a genuine AI-adjacent initiative. Market Share (2/2): MPLX operates one of the largest integrated midstream platforms in the U.S., with dominant positions in the Marcellus/Utica (natural gas processing) and Permian Basin (gathering), plus a diversified logistics network including marine, terminals, and rail [2]. Pipeline (1/2): $2.4B organic growth capital plan for 2026, with specific projects including Harmon Creek III gas plant, Titan sour gas treating expansion, and multiple pipeline and fractionation projects expected in service between late 2026 and 2029 [1]. R&amp;D Intensity (0/1): Minimal R&amp;D — midstream MLPs invest in infrastructure assets,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MPLX's purpose is functional — safely and reliably moving hydrocarbons through midstream infrastructure. This is interchangeable with any midstream MLP and does not articulate a deeper purpose beyond operational excellence. Community Impact (1/2): MPLX publishes sustainability reports jointly with parent Marathon Petroleum, with methane emissions intensity reduction goals (75% by 2030 from 2016 baseline) and TCFD-aligned climate perspectives reporting [4]. The commitment is quantified but reflects regulatory compliance as much as mission-driven giving. Employee Retention (1/2): CEO Maryann Mannen leads a stable executive team with recognition for safety culture transformation in the industry [3]. MPLX's workforce is shared with parent MPC, making independent assessment difficult, but leadership continuity suggests organizational stability. Insider Buying (2/2): The MPC parent maintains its substantial LP economic interest (64%), directly aligning general partner incentives with unitholder returns. The 12.5% distribution increase for 2026-2027 and $2.4B growth capex commitment demonstrate structural insider conviction unique to the MLP format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MPLX's financial profile is among the strongest in midstream. Net profit margin of 44% reflects the toll-road nature of midstream cash flows with fee-based and take-or-pay revenue [2][5]. Forward P/E of 12.32 is attractive for a partnership committed to 12.5% annual distribution growth [5]. ROE of approximately 34% demonstrates efficient capital deployment on $14.5B in equity [5]. Full-year 2025 revenue of $11.82B with net income of $4.9B and adjusted EBITDA of $7.0B, while Q1 2026 produced EBITDA of $1.7B with management expecting second-half-weighted EBITDA growth to exceed 2025 [1][2]. D/E of 176.5% is elevated but typical for midstream MLPs and well below the 300% floor [5]. Dividend profile: 7.61% yield, approximately 80% payout ratio, 14 consecutive years paid, 3 consecutive years of growth, and 7.5% five-year distribution CAGR [5]. Distribution coverage of 1.3x in Q1 2026 supports sustainability. Liquidity floor cleared: ~1.85M avg vol x $56.95 = $105.4M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MPLX operates with a fundamentally finite orientation — the MLP structure is designed to maximize distributions to unitholders, and the company's strategy is driven by asset optimization and capital return rather than a transformative just cause. However, the long-lived nature of midstream infrastructure (30-50 year asset lives), the essential role of natural gas in the energy transition, and the new data center adjacency provide an inherently long-term business foundation that partially offsets the finite structural incentives.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MPLX's purpose is to safely and reliably transport hydrocarbons and generate distributions for unitholders — functional and honest but not a Just Cause in Sinek's framework [2]. The company doesn't articulate a vision of a better future that inspires sacrifice. The MLP structure explicitly prioritizes capital return over reinvestment, which is the antithesis of an infinite game orientation.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Maryann Mannen leads a stable management team with recognized safety culture leadership in the midstream industry [3]. The company operates safely in a high-hazard environment (pipeline and processing operations), which requires baseline trust and procedural discipline. However, MPLX shares employees with parent MPC, and independent workforce culture data is not available.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MPLX's competitive strategy focuses on geographic positioning, scale advantages, and cost of capital — structural advantages rather than competitive learning [2]. The company doesn't publicly reference worthy rivals or frame competition as motivation for self-improvement. The MLP structure incentivizes asset accumulation over competitive evolution.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MARA Holdings data center partnership represents a genuine entry into an adjacent market — using existing gas infrastructure to power AI data centers with 400 MW expanding to 1.5 GW [3]. This demonstrates willingness to evolve beyond traditional midstream operations. Combined with the $2.4B growth capex focused on NGL services expansion, MPLX is adapting incrementally to new demand drivers.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12.5% distribution increase commitment for both 2026 and 2027, backed by $2.4B growth capex and 1.3x coverage, demonstrates confidence in long-term infrastructure economics [1]. The investment in data center power partnerships represents a forward-looking bet on AI-driven energy demand at a time when energy transition narratives question fossil fuel investment.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MPLX LP is a premier midstream MLP offering a 7.61% distribution yield with 12.5% annual growth committed for 2026-2027, supported by 1.3x distribution coverage and $5.8B in distributable cash flow [1][2][5]. Full-year 2025 produced $11.82B in revenue, $4.9B in net income, and $7.0B in adjusted EBITDA, with Q1 2026 EBITDA of $1.7B and management expecting growth to exceed 2025 levels in the second half of the year [1][2]. At 12.32x forward P/E with 44% net profit margin, MPLX is attractively valued as an essential infrastructure business benefiting from AI-driven power demand — the MARA Holdings partnership targets 400 MW expanding to 1.5 GW of gas-fired power for data centers [3][5]. The $2.4B organic growth capital plan provides multi-year distribution growth visibility through Harmon Creek III, Titan expansion, and Permian pipeline projects [1].</w:t>
      </w:r>
    </w:p>
    <w:p>
      <w:pPr>
        <w:spacing w:after="120"/>
      </w:pPr>
      <w:r>
        <w:rPr>
          <w:rFonts w:ascii="Calibri" w:hAnsi="Calibri"/>
          <w:b w:val="0"/>
          <w:color w:val="3A4A28"/>
          <w:sz w:val="20"/>
        </w:rPr>
        <w:t>The bear case centers on energy transition risk, leverage, and MLP structural limitations. D/E of 176.5% reflects $25.6B in total debt against $14.5B in equity, creating refinancing risk if interest rates remain elevated [5]. The 80% payout ratio and 1.3x distribution coverage in Q1 2026 leave limited margin of safety if throughput volumes decline. Revenue five-year CAGR of just 2.9% suggests the business grows slowly absent acquisitions, and Q1 2026 net income of $912M declined from $1,126M in the prior year due to derivatives, interest expense, and non-recurring items [1][5]. As an MLP, MPLX issues K-1 tax forms, limiting the investor base. Energy transition and regulatory risk create long-term demand uncertainty for fossil fuel infrastructure, and pipeline permitting faces ongoing environmental scrutiny [4]. The MPC general partner's 64% economic interest could lead to decisions prioritizing refining operations over MPLX unitholder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12.5% annual distribution growth committed for 2026 and 2027, with 1.3x coverage ratio and management expecting second-half-weighted EBITDA growth to exceed 2025 levels [1]</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tailwind — MARA Holdings partnership targeting 400 MW expanding to 1.5 GW of gas-fired power in West Texas, directly increasing MPLX natural gas throughput volumes [3]</w:t>
      </w:r>
    </w:p>
    <w:p>
      <w:pPr>
        <w:spacing w:before="40" w:after="40"/>
        <w:ind w:left="283"/>
      </w:pPr>
      <w:r>
        <w:rPr>
          <w:rFonts w:ascii="Calibri" w:hAnsi="Calibri"/>
          <w:b/>
          <w:color w:val="4A6B25"/>
          <w:sz w:val="20"/>
        </w:rPr>
        <w:t xml:space="preserve">3. </w:t>
      </w:r>
      <w:r>
        <w:rPr>
          <w:rFonts w:ascii="Calibri" w:hAnsi="Calibri"/>
          <w:b w:val="0"/>
          <w:color w:val="3A4A28"/>
          <w:sz w:val="20"/>
        </w:rPr>
        <w:t>Natural Gas and NGL Services growth — $2.4B organic growth capex with Harmon Creek III, Titan expansion, and multiple pipeline/fractionation projects expected in service 2026-2029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176.5%, $25.6B total debt) creates refinancing risk in a higher-for-longer interest rate environment with Q1 2026 net income declining due to interest expense pressure [1][5]</w:t>
      </w:r>
    </w:p>
    <w:p>
      <w:pPr>
        <w:spacing w:before="40" w:after="40"/>
        <w:ind w:left="283"/>
      </w:pPr>
      <w:r>
        <w:rPr>
          <w:rFonts w:ascii="Calibri" w:hAnsi="Calibri"/>
          <w:b/>
          <w:color w:val="4A6B25"/>
          <w:sz w:val="20"/>
        </w:rPr>
        <w:t xml:space="preserve">2. </w:t>
      </w:r>
      <w:r>
        <w:rPr>
          <w:rFonts w:ascii="Calibri" w:hAnsi="Calibri"/>
          <w:b w:val="0"/>
          <w:color w:val="3A4A28"/>
          <w:sz w:val="20"/>
        </w:rPr>
        <w:t>Energy transition and regulatory risk — long-term demand uncertainty for fossil fuel infrastructure, plus pipeline permitting challenges and environmental opposition to expansion projects [4]</w:t>
      </w:r>
    </w:p>
    <w:p>
      <w:pPr>
        <w:spacing w:before="40" w:after="40"/>
        <w:ind w:left="283"/>
      </w:pPr>
      <w:r>
        <w:rPr>
          <w:rFonts w:ascii="Calibri" w:hAnsi="Calibri"/>
          <w:b/>
          <w:color w:val="4A6B25"/>
          <w:sz w:val="20"/>
        </w:rPr>
        <w:t xml:space="preserve">3. </w:t>
      </w:r>
      <w:r>
        <w:rPr>
          <w:rFonts w:ascii="Calibri" w:hAnsi="Calibri"/>
          <w:b w:val="0"/>
          <w:color w:val="3A4A28"/>
          <w:sz w:val="20"/>
        </w:rPr>
        <w:t>MPC general partner alignment risk — Marathon Petroleum's 64% economic interest could lead to capital allocation decisions prioritizing refining operations over MPLX distribution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MPLX's core business — owning and operating physical midstream energy infrastructure (pipelines, processing plants, terminals, marine vessels) — is structurally immune to AI disruption [2]. AI cannot replace pipelines, fractionation plants, or storage caverns. The business is further protected by regulatory requirements, long-term contracts, and right-of-way assets that are nearly impossible to replicate. AI actually increases demand for MPLX's infrastructure: AI data centers require massive natural gas-fired power generation, which drives throughput volumes through MPLX's gathering and processing systems. Management expects year-over-year EBITDA growth in 2026 to exceed 2025, with data center demand as a growing tailwind [1]. AI Opportunity (1/1): The MARA Holdings collaboration directly monetizes AI demand by supplying natural gas for 400 MW (expanding to 1.5 GW) of gas-fired power generation for data centers and AI workloads in West Texas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MPLX LP Q1 2026 Financial Results — net income $912M, adjusted EBITDA $1.7B, distribution $1.0765/unit, 1.3x coverage, $2.4B growth capex, May 2026</w:t>
      </w:r>
    </w:p>
    <w:p>
      <w:pPr>
        <w:spacing w:before="20" w:after="20"/>
        <w:ind w:left="170"/>
      </w:pPr>
      <w:r>
        <w:rPr>
          <w:rFonts w:ascii="Calibri" w:hAnsi="Calibri"/>
          <w:b/>
          <w:color w:val="4A6B25"/>
          <w:sz w:val="15"/>
        </w:rPr>
        <w:t xml:space="preserve">2. </w:t>
      </w:r>
      <w:r>
        <w:rPr>
          <w:rFonts w:ascii="Calibri" w:hAnsi="Calibri"/>
          <w:b w:val="0"/>
          <w:color w:val="3A4A28"/>
          <w:sz w:val="17"/>
        </w:rPr>
        <w:t>MPLX LP Full Year 2025 Results — $11.82B revenue, $4.9B net income, $7.0B EBITDA, $5.8B distributable cash flow, $4.4B returned to unitholders, February 2026</w:t>
      </w:r>
    </w:p>
    <w:p>
      <w:pPr>
        <w:spacing w:before="20" w:after="20"/>
        <w:ind w:left="170"/>
      </w:pPr>
      <w:r>
        <w:rPr>
          <w:rFonts w:ascii="Calibri" w:hAnsi="Calibri"/>
          <w:b/>
          <w:color w:val="4A6B25"/>
          <w:sz w:val="15"/>
        </w:rPr>
        <w:t xml:space="preserve">3. </w:t>
      </w:r>
      <w:r>
        <w:rPr>
          <w:rFonts w:ascii="Calibri" w:hAnsi="Calibri"/>
          <w:b w:val="0"/>
          <w:color w:val="3A4A28"/>
          <w:sz w:val="17"/>
        </w:rPr>
        <w:t>MPLX MARA Holdings data center partnership — 400 MW to 1.5 GW gas-fired power, AI workload support, CEO Maryann Mannen leadership, safety culture</w:t>
      </w:r>
    </w:p>
    <w:p>
      <w:pPr>
        <w:spacing w:before="20" w:after="20"/>
        <w:ind w:left="170"/>
      </w:pPr>
      <w:r>
        <w:rPr>
          <w:rFonts w:ascii="Calibri" w:hAnsi="Calibri"/>
          <w:b/>
          <w:color w:val="4A6B25"/>
          <w:sz w:val="15"/>
        </w:rPr>
        <w:t xml:space="preserve">4. </w:t>
      </w:r>
      <w:r>
        <w:rPr>
          <w:rFonts w:ascii="Calibri" w:hAnsi="Calibri"/>
          <w:b w:val="0"/>
          <w:color w:val="3A4A28"/>
          <w:sz w:val="17"/>
        </w:rPr>
        <w:t>MPLX/Marathon Petroleum sustainability and ESG reports — methane reduction targets (75% by 2030), TCFD-aligned climate reporting, environmental commitments</w:t>
      </w:r>
    </w:p>
    <w:p>
      <w:pPr>
        <w:spacing w:before="20" w:after="20"/>
        <w:ind w:left="170"/>
      </w:pPr>
      <w:r>
        <w:rPr>
          <w:rFonts w:ascii="Calibri" w:hAnsi="Calibri"/>
          <w:b/>
          <w:color w:val="4A6B25"/>
          <w:sz w:val="15"/>
        </w:rPr>
        <w:t xml:space="preserve">5. </w:t>
      </w:r>
      <w:r>
        <w:rPr>
          <w:rFonts w:ascii="Calibri" w:hAnsi="Calibri"/>
          <w:b w:val="0"/>
          <w:color w:val="3A4A28"/>
          <w:sz w:val="17"/>
        </w:rPr>
        <w:t>Stock Analysis / GuruFocus / Yahoo Finance — MPLX key statistics, stock price $56.95, Forward PE 12.32, D/E 176.5%, ROE ~34%, yield 7.61%,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