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MSTR</w:t>
      </w:r>
      <w:r>
        <w:rPr>
          <w:rFonts w:ascii="Calibri" w:hAnsi="Calibri"/>
          <w:b/>
          <w:color w:val="1A2010"/>
          <w:sz w:val="40"/>
        </w:rPr>
        <w:t xml:space="preserve">  Strategy Inc</w:t>
      </w:r>
    </w:p>
    <w:p>
      <w:pPr>
        <w:spacing w:after="120"/>
      </w:pPr>
      <w:r>
        <w:rPr>
          <w:rFonts w:ascii="Calibri" w:hAnsi="Calibri"/>
          <w:b/>
          <w:color w:val="6E8450"/>
          <w:sz w:val="18"/>
        </w:rPr>
        <w:t>GROWTH SLEEVE · 2026-08-15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Strategy Inc (formerly MicroStrategy) operates as a bitcoin treasury company and enterprise analytics software provider. The company holds approximately 843,775 BTC (roughly 4.00% of total bitcoin supply) valued at a combined acquisition cost near $63.7 billion, making it the largest corporate bitcoin holder globally. Its legacy software business, now pivoting toward recurring subscriptions (up 54% YoY in Q2 2026), offers AI-powered enterprise analytics through Strategy One and Strategy Mosaic.</w:t>
      </w:r>
    </w:p>
    <w:p>
      <w:r>
        <w:rPr>
          <w:rFonts w:ascii="Calibri" w:hAnsi="Calibri"/>
          <w:b/>
          <w:color w:val="6E8450"/>
          <w:sz w:val="18"/>
        </w:rPr>
        <w:t>1,615 Employees · https://www.strategy.com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Strategy continues scaling its bitcoin treasury transformation, growing holdings to approximately 843,775 BTC (~4.00% of total supply) while cutting net debt 18% to $6.7B and raising $8.4B in a single quarter (Q2 2026) through its capital markets machinery [1][2]. AI Deployment (1/2): Strategy One and Strategy Mosaic continue shipping AI-powered enterprise analytics, though these remain secondary to the bitcoin treasury identity and generate modest, non-disclosed AI-specific revenue [3]. Market Share Leadership (2/2): Strategy remains the undisputed leader in corporate bitcoin treasury holdings at ~4% of total BTC supply, with no public company approaching its position [2]. Product Pipeline (1/2): The newly articulated three-layer capital architecture (Bitcoin as digital capital, STRC as digital credit, stablecoin-linked products as digital money) includes specific quantified targets — a 30% annual BTC-yield goal and digital credit issuance equal to 10-20% of BTC reserves annually — giving more concrete forward visibility than a pure accumulation strategy [2]. R&amp;D Intensity (1/1): R&amp;D spending as a percentage of revenue remains above average for enterprise software peers, even as the software segment shrinks in relative importance.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Strategy's purpose as the leading 'Bitcoin treasury company' providing varying degrees of BTC economic exposure remains clear and distinctive but continues to serve financial engineering rather than a deeper social purpose [2]. Community &amp; Charitable Impact (0/2): No evidence of significant corporate philanthropy, foundation activity, or community investment beyond Michael Saylor's personal bitcoin advocacy. Employee Retention (1/2): Headcount has declined modestly (1,689 in 2023 to 1,615 in 2026, -4.3%) but without evidence of mass layoffs or cultural dysfunction, consistent with a stable, if lean, organization [4]. Insider Buying (2/2): Michael Saylor's multi-year pattern of extreme personal conviction in bitcoin and MSTR stock remains the defining feature of the company's leadership, even as Strategy made small opportunistic BTC sales in 2026 (~$216M-$300M) to fund preferred dividend obligations and U.S. dollar reserves rather than reduce conviction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as a growth stock (Forward PEG excluded — not meaningful given negative trailing earnings). D/E of 15.0% scores a full 1.0 following the 18% net debt reduction to $6.7B [1][5]. Forward P/E of 2.84 also scores a full 1.0, reflecting deeply discounted expected bitcoin-driven earnings. However, ROE of -63.56% (2x weight) and profit margin of roughly -6,400% both floor at 0.0 due to the $8.6B Q2 2026 mark-to-market bitcoin loss [1][5]. Revenue Growth YoY of 6.9% scores 0.90, and 5-year revenue CAGR of -1.7% (software revenue essentially flat to declining from $510.8M in FY2021 to $477.2M in FY2025) scores 0.22 (2x weight) [6]. Weighted sum of 3.34/8 available weight units yields a score of 4. Liquidity clears the floor comfortably at roughly $1.45B average daily dollar volume (15.61M shares x $93.04).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Strategy continues to combine genuine multi-cycle conviction (the bitcoin treasury cause has now survived the 2022 crypto winter and a $8.6B mark-to-market loss quarter without wavering) with distinctly finite-game framing — Michael Saylor's publicly stated ambition to become 'the world's largest company by market cap' through bitcoin dominance, and his direct involvement opposing Bitcoin protocol governance changes, reflect a dominance-oriented posture more than a worthy-rivals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Strategy's cause — providing capital markets access to bitcoin as a store of value — has now weathered the 2022 crypto winter and a further $8.6B Q2 2026 mark-to-market loss without any change in accumulation strategy, reinforcing multi-cycle consistency [1]. It has still not survived a leadership transition away from Saylor, keeping it short of the top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Headcount has declined modestly to 1,615 (from 1,689 in 2023) without evidence of disruptive layoffs, suggesting a stable if lean organization [4]. The company remains heavily centralized around Saylor's vision, with CEO Phong Le executing rather than independently leading strategy, limiting evidence of distributed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Saylor's publicly stated ambition to become 'the world's largest company by market cap' through bitcoin dominance, combined with his direct involvement opposing proposed Bitcoin protocol rule changes (BIP-110) to preserve Strategy's positioning, reflects a finite, dominance-oriented competitive posture rather than a mindset that treats rivals as sources of self-improvement [2][3].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Strategy's transformation from enterprise analytics vendor to the world's largest corporate bitcoin holder remains one of the most dramatic corporate pivots in modern history, and the 2026 introduction of a formal three-layer capital architecture (Bitcoin, digital credit via STRC, stablecoin-linked digital money) shows continued willingness to redefine the business model rather than simply hold a static position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Strategy absorbed an $8.6B non-cash mark-to-market loss in Q2 2026 without altering its accumulation strategy, and simultaneously executed an 18% net debt reduction — balancing conviction with balance-sheet discipline [1]. Saylor's willingness to make small opportunistic BTC sales to fund preferred dividends, breaking from pure 'never sell' dogma, shows adaptive courage, but the highly leveraged structure continues to blur the line between conviction and risk-taking.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Strategy offers leveraged, capital-markets-native exposure to bitcoin that no other public company replicates at scale. The company holds approximately 843,775 BTC (~4.00% of total supply) at a Forward P/E of just 2.84x, and Q2 2026 saw net debt reduced 18% to $6.7B even while raising $8.4B in fresh capital, including $5.5B in digital credit — the largest quarterly raise in company history [1][2]. The newly formalized three-layer capital architecture (Bitcoin, STRC digital credit, stablecoin-linked digital money) targets a 30% annual BTC yield and digital credit issuance equal to 10-20% of BTC reserves, giving investors clearer visibility into how Saylor intends to compound bitcoin-per-share over time. The legacy software business is also re-accelerating, with subscription revenue up 54% YoY in Q2 2026.</w:t>
      </w:r>
    </w:p>
    <w:p>
      <w:pPr>
        <w:spacing w:after="120"/>
      </w:pPr>
      <w:r>
        <w:rPr>
          <w:rFonts w:ascii="Calibri" w:hAnsi="Calibri"/>
          <w:b w:val="0"/>
          <w:color w:val="3A4A28"/>
          <w:sz w:val="20"/>
        </w:rPr>
        <w:t>The bear case centers on extreme concentration and volatility risk. Strategy posted an $8.6B net loss in Q2 2026 driven entirely by non-cash mark-to-market bitcoin losses as BTC fell to ~$58,700, and ROE of -63.56% with a profit margin near -6,400% reflect how violently GAAP results swing with bitcoin's price [1]. The legacy software business, while re-accelerating in subscriptions, still generated flat-to-declining revenue over the past five years ($510.8M in FY2021 to $477.2M in FY2025) and remains a small fraction of the company's ~$77B-plus asset base. Saylor's stated ambition to become the 'world's largest company by market cap' through bitcoin dominance, alongside his direct involvement in Bitcoin governance debates (opposing BIP-110), signals a finite, dominance-first posture that could invite regulatory or community pushback. Bitcoin ETFs (IBIT, FBTC) continue to offer cleaner, unlevered BTC exposure, structurally capping how much valuation premium MSTR can sustain over its bitcoin NAV.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of the three-layer capital architecture — Bitcoin, STRC digital credit, and stablecoin-linked digital money — could drive bitcoin-per-share compounding toward the stated 30% annual yield target if capital markets access remains open [2]</w:t>
      </w:r>
    </w:p>
    <w:p>
      <w:pPr>
        <w:spacing w:before="40" w:after="40"/>
        <w:ind w:left="283"/>
      </w:pPr>
      <w:r>
        <w:rPr>
          <w:rFonts w:ascii="Calibri" w:hAnsi="Calibri"/>
          <w:b/>
          <w:color w:val="4A6B25"/>
          <w:sz w:val="20"/>
        </w:rPr>
        <w:t xml:space="preserve">2. </w:t>
      </w:r>
      <w:r>
        <w:rPr>
          <w:rFonts w:ascii="Calibri" w:hAnsi="Calibri"/>
          <w:b w:val="0"/>
          <w:color w:val="3A4A28"/>
          <w:sz w:val="20"/>
        </w:rPr>
        <w:t>STRC ETF integration, which Saylor has flagged as 'the next unlock' for both bitcoin and MSTR demand, would broaden the investor base able to access Strategy's digital credit instruments [2]</w:t>
      </w:r>
    </w:p>
    <w:p>
      <w:pPr>
        <w:spacing w:before="40" w:after="40"/>
        <w:ind w:left="283"/>
      </w:pPr>
      <w:r>
        <w:rPr>
          <w:rFonts w:ascii="Calibri" w:hAnsi="Calibri"/>
          <w:b/>
          <w:color w:val="4A6B25"/>
          <w:sz w:val="20"/>
        </w:rPr>
        <w:t xml:space="preserve">3. </w:t>
      </w:r>
      <w:r>
        <w:rPr>
          <w:rFonts w:ascii="Calibri" w:hAnsi="Calibri"/>
          <w:b w:val="0"/>
          <w:color w:val="3A4A28"/>
          <w:sz w:val="20"/>
        </w:rPr>
        <w:t>Any bitcoin price recovery from the ~$58,700 Q2 2026 quarter-end level would sharply reverse the GAAP mark-to-market losses that dominated recent headline results, given the leveraged 843,775 BTC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concentration risk in a single volatile asset — the $8.6B Q2 2026 net loss illustrates how quickly GAAP results and reported equity can swing with bitcoin's price, and further declines could pressure preferred-dividend coverage despite the 18% net debt reduction [1]</w:t>
      </w:r>
    </w:p>
    <w:p>
      <w:pPr>
        <w:spacing w:before="40" w:after="40"/>
        <w:ind w:left="283"/>
      </w:pPr>
      <w:r>
        <w:rPr>
          <w:rFonts w:ascii="Calibri" w:hAnsi="Calibri"/>
          <w:b/>
          <w:color w:val="4A6B25"/>
          <w:sz w:val="20"/>
        </w:rPr>
        <w:t xml:space="preserve">2. </w:t>
      </w:r>
      <w:r>
        <w:rPr>
          <w:rFonts w:ascii="Calibri" w:hAnsi="Calibri"/>
          <w:b w:val="0"/>
          <w:color w:val="3A4A28"/>
          <w:sz w:val="20"/>
        </w:rPr>
        <w:t>Saylor's public ambition to dominate bitcoin market cap rankings and his direct involvement in Bitcoin protocol governance disputes (BIP-110) create reputational and regulatory risk if perceived as self-interested influence over the underlying asset [2][3]</w:t>
      </w:r>
    </w:p>
    <w:p>
      <w:pPr>
        <w:spacing w:before="40" w:after="40"/>
        <w:ind w:left="283"/>
      </w:pPr>
      <w:r>
        <w:rPr>
          <w:rFonts w:ascii="Calibri" w:hAnsi="Calibri"/>
          <w:b/>
          <w:color w:val="4A6B25"/>
          <w:sz w:val="20"/>
        </w:rPr>
        <w:t xml:space="preserve">3. </w:t>
      </w:r>
      <w:r>
        <w:rPr>
          <w:rFonts w:ascii="Calibri" w:hAnsi="Calibri"/>
          <w:b w:val="0"/>
          <w:color w:val="3A4A28"/>
          <w:sz w:val="20"/>
        </w:rPr>
        <w:t>Bitcoin ETF competition (IBIT, FBTC) continues to offer cleaner, unlevered exposure, structurally capping the premium MSTR can sustain over bitcoin NAV as the market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Strategy's core business is bitcoin treasury management — accumulating, holding, and issuing credit against a ~$63.7B bitcoin balance sheet — which AI cannot replicate or displace, nor can it substitute for the capital-markets financial engineering (digital credit issuance, preferred equity) that drives the company's value proposition [1][2]. The legacy enterprise analytics software segment, now pivoting toward subscriptions (+54% YoY), faces moderate AI disruption risk from generative AI analytics tools, but remains immaterial relative to the bitcoin treasury thesis. AI Opportunity (1/1): Strategy ships AI-powered enterprise analytics through Strategy One, representing quantifiable if modest AI-derived revenue within the growing subscription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Strategy Inc Q2 2026 Earnings Release and Call, July 30, 2026 — revenue $122.4M, net loss $8.6B, BTC holdings, debt reduction</w:t>
      </w:r>
    </w:p>
    <w:p>
      <w:pPr>
        <w:spacing w:before="20" w:after="20"/>
        <w:ind w:left="170"/>
      </w:pPr>
      <w:r>
        <w:rPr>
          <w:rFonts w:ascii="Calibri" w:hAnsi="Calibri"/>
          <w:b/>
          <w:color w:val="4A6B25"/>
          <w:sz w:val="15"/>
        </w:rPr>
        <w:t xml:space="preserve">2. </w:t>
      </w:r>
      <w:r>
        <w:rPr>
          <w:rFonts w:ascii="Calibri" w:hAnsi="Calibri"/>
          <w:b w:val="0"/>
          <w:color w:val="3A4A28"/>
          <w:sz w:val="17"/>
        </w:rPr>
        <w:t>Michael Saylor bitcoin strategy commentary — three-layer capital architecture, Bitcoin Banking Adoption Index, BIP-110 governance opposition; CoinDesk, Motley Fool, Foreign Policy Journal, 2026</w:t>
      </w:r>
    </w:p>
    <w:p>
      <w:pPr>
        <w:spacing w:before="20" w:after="20"/>
        <w:ind w:left="170"/>
      </w:pPr>
      <w:r>
        <w:rPr>
          <w:rFonts w:ascii="Calibri" w:hAnsi="Calibri"/>
          <w:b/>
          <w:color w:val="4A6B25"/>
          <w:sz w:val="15"/>
        </w:rPr>
        <w:t xml:space="preserve">3. </w:t>
      </w:r>
      <w:r>
        <w:rPr>
          <w:rFonts w:ascii="Calibri" w:hAnsi="Calibri"/>
          <w:b w:val="0"/>
          <w:color w:val="3A4A28"/>
          <w:sz w:val="17"/>
        </w:rPr>
        <w:t>Strategy Inc company website and product descriptions (Strategy One, Strategy Mosaic),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GuruFocus, StockAnalysis.com — MSTR Q2 2026 earnings analysis and key statistics,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Strategy, Inc. headcount data — StockAnalysis.com, RevelioLabs,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MSTR annual revenue history FY2021-FY2025,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