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NESR</w:t>
      </w:r>
      <w:r>
        <w:rPr>
          <w:rFonts w:ascii="Calibri" w:hAnsi="Calibri"/>
          <w:b/>
          <w:color w:val="1A2010"/>
          <w:sz w:val="40"/>
        </w:rPr>
        <w:t xml:space="preserve">  National Energy Services Reunited Corp.</w:t>
      </w:r>
    </w:p>
    <w:p>
      <w:pPr>
        <w:spacing w:after="120"/>
      </w:pPr>
      <w:r>
        <w:rPr>
          <w:rFonts w:ascii="Calibri" w:hAnsi="Calibri"/>
          <w:b/>
          <w:color w:val="6E8450"/>
          <w:sz w:val="18"/>
        </w:rPr>
        <w:t>GROWTH SLEEVE · 2026-07-22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National Energy Services Reunited is the first and largest MENA-headquartered oilfield services company publicly listed on NASDAQ. Founded in 2017 as a SPAC by former Schlumberger executive Sherif Foda, NESR provides production services (hydraulic fracturing, coiled tubing, cementing, stimulation, water management), drilling &amp; evaluation services, and an ESG Impact segment across the Middle East and North Africa. Primary customers include Saudi Aramco, ADNOC, and other national oil companies. Market cap approximately $2.7 billion.</w:t>
      </w:r>
    </w:p>
    <w:p>
      <w:r>
        <w:rPr>
          <w:rFonts w:ascii="Calibri" w:hAnsi="Calibri"/>
          <w:b/>
          <w:color w:val="6E8450"/>
          <w:sz w:val="18"/>
        </w:rPr>
        <w:t>7,352 Employees · https://www.nesr.com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NESR grew from a 2017 SPAC into a $1.6B+ annual revenue integrated oilfield services company through acquisitions and organic expansion in MENA, but the core business model — providing drilling and production services to national oil companies — remains fundamentally unchanged from inception [1]. AI Deployment (0/2): No AI-powered products shipping to customers and no specific AI-driven cost savings reported; the company references digital initiatives broadly but without quantifiable AI deployment results [3]. Market Share (2/2): NESR is the dominant independent oilfield services provider in the MENA region, securing the largest single hydraulic fracturing contract in sector history with Saudi Aramco's Jafurah project and receiving Aramco's Advanced Technology Contribution Award [1][3]. Q1 2026 revenue of $404.6M beat consensus by $28M, validating market position [1]. Product Pipeline (1/2): Jafurah frac ramp, $300M in new cementing contracts, and Gulf sovereign AI data center infrastructure support provide strong revenue visibility, with full-year 2026 consensus at $1.84B (+29% YoY) [1][4]. R&amp;D Intensity (1/1): NESR invests in proprietary technologies including expandable liner technology, vacuum insulated tubing, and water treatment systems, maintaining above-average R&amp;D intensity for oilfield services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NESR's stated purpose centers on providing innovative energy solutions for the MENA region — clear and identifies the company's regional role, but industry-standard and not distinctive enough to inspire beyond the practical business objective [3]. Community Impact (1/2): NESR joined the United Nations Global Compact in 2021, committing to human rights, labor standards, and environmental stewardship, and created an ESG Impact segment addressing water conservation and aquifer protection in water-scarce Gulf regions [5]. Employee Retention (0/2): No publicly available data on employee tenure, voluntary turnover, or mission-driven retention. The company employs 7,352 people primarily in the Middle East, but specific cultural metrics are not disclosed [3]. Insider Buying (0/2): Massive net insider selling in 2026 — Director Yousif Al-Nowais sold 1.9 million shares worth $51.4M in June 2026 (89% of his holdings), following multiple block sales in May 2026 totaling over 1.5 million additional shares at ~$26/share [6]. Despite founder Sherif Foda's substantial ownership stake, the selling pattern from a key board member signals distribution rather than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$404.6M revenue (+33.5% YoY) with adjusted EBITDA of $76.7M and operating profit of $36.0M (+72% YoY) [1]. D/E of 32% is conservatively managed, well below the 70% target, reflecting disciplined balance sheet management with $335M debt against substantial operating cash flow [2]. Forward P/E of 13.67x represents attractive valuation given the 29% full-year revenue growth forecast of $1.84B and consensus EPS of $1.60 (+150% YoY) [1][2]. Five-year revenue CAGR of 13.2% exceeds the 10% target, demonstrating sustained structural growth. Key weaknesses are ROE of 6.74% (below 15% target) and profit margin of 4.53% (well below 20% target), typical of capital-intensive oilfield services operations. Liquidity easily cleared at ~$55M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NESR under CEO Sherif Foda has built a MENA services champion with strong Aramco relationships, long-term contract visibility, and nascent energy transition capabilities through the ESG Impact segment. However, the company's strategic horizon is defined by contract cycles and commodity dynamics, the massive insider selling suggests at least one key stakeholder is taking chips off the table, and the 9-year track record is too short to validate enduring purpose through multiple market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NESR's founding purpose — creating the first major MENA-headquartered energy services company to serve the region's national oil companies — is practical and distinctive within its niche but reads more as a market-driven opportunity than a Just Cause in Sinek's sense [3]. The company's existence is tied to hydrocarbon demand rather than a vision of a better future. Water management and environmental services through the NEDA segment represent a nascent purpose element but remain small relative to core oilfield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Sherif Foda's 9-year tenure since the 2017 SPAC formation provides leadership continuity, and the founding team maintains substantial insider ownership aligning management with long-term outcomes [3]. The company has grown headcount to 7,352 in a competitive talent market, suggesting adequate retention. However, no specific employee culture data (Glassdoor ratings, voluntary turnover, psychological safety metrics) is available to assess trust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NESR positions itself not by attacking Schlumberger and Halliburton directly but by differentiating through MENA-native expertise and deep national oil company relationships that global majors cannot easily replicate [3]. Management commentary focuses on the company's unique regional capabilities and customer intimacy rather than 'beating' competitors, suggesting a competitive mindset oriented toward building distinct strengths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NESR's creation itself — assembling a MENA-focused oilfield services platform via SPAC and multiple acquisitions — represented meaningful strategic flexibility from Foda's prior career at Schlumberger [3]. The addition of the ESG Impact/NEDA segment (water management, sustainability services) shows willingness to evolve beyond pure oilfield services toward energy transition capabilities [5]. However, the core business model remains firmly tied to hydrocarbon production services.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Jafurah hydraulic fracturing contract — the largest single frac tender in oilfield services history — required significant upfront capital commitment and operational risk, demonstrating willingness to make large bets on long-term relationships [1]. NESR's continued investment in sustainability services (NEDA segment) while the core business is booming shows some willingness to invest in future capabilities rather than maximize near-term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NESR delivered a record Q1 2026 with $404.6M revenue (+33.5% YoY), $23.8M net income (+129%), and adjusted EPS of $0.26 (+86%), significantly beating consensus estimates of $376.4M revenue and $0.21 EPS [1]. Full-year 2026 consensus calls for $1.84B revenue (+29%) and $1.60 EPS (+150%), implying a forward P/E of just 13.67x — a steep discount to global oilfield services peers [2]. The balance sheet is conservatively managed (D/E 32%) with $335M debt and strong operating cash flow, providing flexibility for continued Jafurah ramp-up and new contract wins. NESR's positioning as the dominant MENA-native energy services provider gives it preferential access to Saudi Aramco, ADNOC, and other national oil company spending programs that global majors cannot easily penetrate [3]. The Gulf sovereign AI data center buildout creates incremental demand for NESR's energy and water infrastructure services [4].</w:t>
      </w:r>
    </w:p>
    <w:p>
      <w:pPr>
        <w:spacing w:after="120"/>
      </w:pPr>
      <w:r>
        <w:rPr>
          <w:rFonts w:ascii="Calibri" w:hAnsi="Calibri"/>
          <w:b w:val="0"/>
          <w:color w:val="3A4A28"/>
          <w:sz w:val="20"/>
        </w:rPr>
        <w:t>The bear case centers on profitability quality and insider behavior. Profit margin of 4.53% and ROE of 6.74% are well below IOWN targets, indicating that NESR's impressive topline growth is not translating into commensurate shareholder returns — the oilfield services business is inherently capital-intensive and low-margin even during upcycles [2]. Director Al-Nowais liquidated $51.4M worth of shares in June 2026 alone (89% of his holdings), following additional block sales exceeding 1.5M shares in May 2026, signaling that a key insider believes current prices are stretched after the stock's 340% run over 52 weeks [6]. Geographic concentration in MENA creates severe customer risk — Saudi Aramco spending cuts, sustained oil price declines, or regional geopolitical disruption would impact the entire revenue base. The trailing P/E of 39.24x implies the market is pricing in perfect execution of the growth trajectory, leaving minimal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consensus of $1.84B (+29% YoY) with EPS of $1.60 (+150%) driven by Jafurah hydraulic fracturing ramp-up — the largest single frac tender in oilfield services history [1]</w:t>
      </w:r>
    </w:p>
    <w:p>
      <w:pPr>
        <w:spacing w:before="40" w:after="40"/>
        <w:ind w:left="283"/>
      </w:pPr>
      <w:r>
        <w:rPr>
          <w:rFonts w:ascii="Calibri" w:hAnsi="Calibri"/>
          <w:b/>
          <w:color w:val="4A6B25"/>
          <w:sz w:val="20"/>
        </w:rPr>
        <w:t xml:space="preserve">2. </w:t>
      </w:r>
      <w:r>
        <w:rPr>
          <w:rFonts w:ascii="Calibri" w:hAnsi="Calibri"/>
          <w:b w:val="0"/>
          <w:color w:val="3A4A28"/>
          <w:sz w:val="20"/>
        </w:rPr>
        <w:t>Gulf sovereign AI data center buildout (Saudi Arabia, UAE) creating incremental demand for NESR's energy and water infrastructure services beyond traditional oilfield operations [4]</w:t>
      </w:r>
    </w:p>
    <w:p>
      <w:pPr>
        <w:spacing w:before="40" w:after="40"/>
        <w:ind w:left="283"/>
      </w:pPr>
      <w:r>
        <w:rPr>
          <w:rFonts w:ascii="Calibri" w:hAnsi="Calibri"/>
          <w:b/>
          <w:color w:val="4A6B25"/>
          <w:sz w:val="20"/>
        </w:rPr>
        <w:t xml:space="preserve">3. </w:t>
      </w:r>
      <w:r>
        <w:rPr>
          <w:rFonts w:ascii="Calibri" w:hAnsi="Calibri"/>
          <w:b w:val="0"/>
          <w:color w:val="3A4A28"/>
          <w:sz w:val="20"/>
        </w:rPr>
        <w:t>ESG Impact/NEDA segment expansion into water conservation and climate mitigation services as Gulf nations diversify energy portfolios and address water scarcity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4.53% and ROE of 6.74% indicate capital-intensive operations with poor shareholder returns — topline growth of 33.5% is not translating into proportionate bottom-line performance [2]</w:t>
      </w:r>
    </w:p>
    <w:p>
      <w:pPr>
        <w:spacing w:before="40" w:after="40"/>
        <w:ind w:left="283"/>
      </w:pPr>
      <w:r>
        <w:rPr>
          <w:rFonts w:ascii="Calibri" w:hAnsi="Calibri"/>
          <w:b/>
          <w:color w:val="4A6B25"/>
          <w:sz w:val="20"/>
        </w:rPr>
        <w:t xml:space="preserve">2. </w:t>
      </w:r>
      <w:r>
        <w:rPr>
          <w:rFonts w:ascii="Calibri" w:hAnsi="Calibri"/>
          <w:b w:val="0"/>
          <w:color w:val="3A4A28"/>
          <w:sz w:val="20"/>
        </w:rPr>
        <w:t>Massive insider selling ($51.4M by Director Al-Nowais in June 2026 representing 89% of holdings, plus 1.5M+ shares sold in May 2026) after a 340% stock run signals potential overvaluation at current levels [6]</w:t>
      </w:r>
    </w:p>
    <w:p>
      <w:pPr>
        <w:spacing w:before="40" w:after="40"/>
        <w:ind w:left="283"/>
      </w:pPr>
      <w:r>
        <w:rPr>
          <w:rFonts w:ascii="Calibri" w:hAnsi="Calibri"/>
          <w:b/>
          <w:color w:val="4A6B25"/>
          <w:sz w:val="20"/>
        </w:rPr>
        <w:t xml:space="preserve">3. </w:t>
      </w:r>
      <w:r>
        <w:rPr>
          <w:rFonts w:ascii="Calibri" w:hAnsi="Calibri"/>
          <w:b w:val="0"/>
          <w:color w:val="3A4A28"/>
          <w:sz w:val="20"/>
        </w:rPr>
        <w:t>Extreme geographic concentration in MENA/Saudi Arabia exposes NESR to Aramco capex changes, sustained oil price declines, and regional geopolitical disruption across the entire revenue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NESR's core business — physical oilfield services including hydraulic fracturing, drilling, cementing, and water treatment in remote MENA locations — is structurally immune to AI disruption [3]. These services require heavy equipment, specialized field crews, and decades of subsurface engineering expertise that AI cannot replicate. The Gulf's massive AI data center buildout (Saudi Arabia, UAE sovereign AI initiatives) directly increases demand for energy and water infrastructure services, positioning NESR as a beneficiary rather than victim of AI expansion [4]. Saudi Aramco's multi-decade Jafurah investment demonstrates enduring physical-world service demand. No analysts have flagged AI as a substitution risk for NESR's business lines. AI Opportunity (0/1): No meaningful AI-generated revenue. Digital initiatives are operational tools rather than revenue-generating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NESR Q1 2026 Earnings Release — Record revenue $404.6M (+33.5% YoY), adj EPS $0.26 (+86%), adj EBITDA $76.7M,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NESR Key Statistics and Valuation Metrics (PE 39.24, Fwd PE 13.67, D/E 32%, ROE 6.74%),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NESR Corporate Website — Executive Team, Aramco Advanced Technology Award, proprietary technologies, nesr.com,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'National Energy Services Reunited: Infrastructure Single-Seller Backing Gulf Sovereign AI', 2026</w:t>
      </w:r>
    </w:p>
    <w:p>
      <w:pPr>
        <w:spacing w:before="20" w:after="20"/>
        <w:ind w:left="170"/>
      </w:pPr>
      <w:r>
        <w:rPr>
          <w:rFonts w:ascii="Calibri" w:hAnsi="Calibri"/>
          <w:b/>
          <w:color w:val="4A6B25"/>
          <w:sz w:val="15"/>
        </w:rPr>
        <w:t xml:space="preserve">5. </w:t>
      </w:r>
      <w:r>
        <w:rPr>
          <w:rFonts w:ascii="Calibri" w:hAnsi="Calibri"/>
          <w:b w:val="0"/>
          <w:color w:val="3A4A28"/>
          <w:sz w:val="17"/>
        </w:rPr>
        <w:t>NESR ESG Report and UN Global Compact Membership Announcement, 2021; NEDA environmental services segment</w:t>
      </w:r>
    </w:p>
    <w:p>
      <w:pPr>
        <w:spacing w:before="20" w:after="20"/>
        <w:ind w:left="170"/>
      </w:pPr>
      <w:r>
        <w:rPr>
          <w:rFonts w:ascii="Calibri" w:hAnsi="Calibri"/>
          <w:b/>
          <w:color w:val="4A6B25"/>
          <w:sz w:val="15"/>
        </w:rPr>
        <w:t xml:space="preserve">6. </w:t>
      </w:r>
      <w:r>
        <w:rPr>
          <w:rFonts w:ascii="Calibri" w:hAnsi="Calibri"/>
          <w:b w:val="0"/>
          <w:color w:val="3A4A28"/>
          <w:sz w:val="17"/>
        </w:rPr>
        <w:t>SEC Form 4 Filings — Director Al-Nowais insider sales of $51.4M (1.9M shares) in June 2026, plus 1.5M+ shares in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