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NMFC</w:t>
      </w:r>
      <w:r>
        <w:rPr>
          <w:rFonts w:ascii="Calibri" w:hAnsi="Calibri"/>
          <w:b/>
          <w:color w:val="1A2010"/>
          <w:sz w:val="40"/>
        </w:rPr>
        <w:t xml:space="preserve">  New Mountain Finance Corporation</w:t>
      </w:r>
    </w:p>
    <w:p>
      <w:pPr>
        <w:spacing w:after="120"/>
      </w:pPr>
      <w:r>
        <w:rPr>
          <w:rFonts w:ascii="Calibri" w:hAnsi="Calibri"/>
          <w:b/>
          <w:color w:val="6E8450"/>
          <w:sz w:val="18"/>
        </w:rPr>
        <w:t>DIVIDEND SLEEVE · 2026-08-05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New Mountain Finance Corporation is an externally managed business development company (BDC) focused on providing direct lending solutions — primarily senior secured loans — to U.S. upper middle market companies backed by leading private equity sponsors. Managed by New Mountain Capital, the company targets 'defensive growth' industries with recurring revenue and low cyclicality. As of Q1 2026, NAV per share declined to $10.92 (down 5.2% sequentially), with 2.6% of the portfolio at fair value and 5.6% at cost on non-accrual. The company completed a ~$470M portfolio sale year-to-date and repurchased ~$66M of shares at $8.01 per share.</w:t>
      </w:r>
    </w:p>
    <w:p>
      <w:r>
        <w:rPr>
          <w:rFonts w:ascii="Calibri" w:hAnsi="Calibri"/>
          <w:b/>
          <w:color w:val="6E8450"/>
          <w:sz w:val="18"/>
        </w:rPr>
        <w:t>https://www.newmountainfinance.com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NMFC is a BDC — a financial vehicle that originates and holds loans. No product launches, business model transformations, or strategic pivots have occurred. The $470M portfolio sale and share repurchase program are defensive financial maneuvers, not innovation [1]. AI Deployment (0/2): While the parent company New Mountain Capital formed Smarter Technologies (combining SmarterDx, Thoughtful.ai, and Access Healthcare) for AI-enabled healthcare revenue cycle management [2], NMFC itself does not deploy AI in its lending operations nor report any AI-driven efficiency gains. Market Share (0/2): NMFC is a mid-tier BDC — significantly smaller than market leaders like Ares Capital (ARCC), Blue Owl Capital, and FS KKR Capital. The company has not gained market share; rather, it has been shrinking its portfolio through the $470M asset sale [1]. Product Pipeline (0/2): No product pipeline applicable for a BDC. R&amp;D Intensity (0/1): Not applicable for a financial services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NMFC's stated focus is 'providing direct lending solutions to U.S. upper middle market companies backed by top private equity sponsors' in 'defensive growth' industries [3]. This describes what the company does — generate income from loans — but articulates no purpose beyond financial returns. It is clear but undistinguished, interchangeable with dozens of BDC competitors. Community Impact (0/2): No evidence of charitable giving, foundation activity, or community investment programs identified in public materials. As an externally managed vehicle with no direct employees, community engagement is minimal. Employee Retention (0/2): NMFC is externally managed by New Mountain Capital with no direct employees. The management team consists of New Mountain Capital professionals. No retention data applicable. Insider Buying (0/2): The company repurchased $66M of shares at $8.01 (below NAV), which is a corporate buyback, not personal insider conviction [1]. No evidence of meaningful personal insider buying by management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forward P/E of 7.41 (based on adjusted NII) scores perfectly, reflecting the deep discount for a BDC with fundamental challenges [4]. Consecutive years of dividend payments (13 since IPO) provides a solid 2x-weighted contribution. However, most other metrics score poorly: D/E of 112% (statutory leverage of 1.12x) is elevated versus the 70% target; ROE of 1.33% is near zero due to realized and unrealized losses; revenue (investment income) of $68.79M in Q1 2026 missed consensus and is declining at an estimated -15% YoY as the $470M portfolio sale permanently reduces the earning asset base [1]. Profit margin of 5.04% reflects credit losses eroding investment income. The dividend was cut 21.9% from $0.32 to $0.25/quarter, breaking any consecutive growth streak and producing negative 5-year dividend growth CAGR of -3.8%. Payout ratio of ~78% on adjusted NII is elevated but still covered.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NMFC is a fundamentally finite game player — an externally managed financial vehicle designed to generate quarterly income for shareholders through direct lending. The company has no Just Cause, no organizational culture (no direct employees), and no evidence of building to endure beyond the current credit cycle. The reactive portfolio sale, dividend cut, and NAV deterioration reflect a company managing decline rather than playing an infinite game. The sole positive is management's courage in executing aggressive restructuring to stabilize the vehicle.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NMFC exists to 'generate current income and capital appreciation' through direct lending — a purely financial objective with no vision of a future state worth advancing beyond shareholder returns [3]. There is no articulated purpose connecting the company's work to something larger. The company is a financial vehicle, not a mission-driven organization. Sinek would identify this as a textbook finite player: the goal is quarterly dividends and NAV preservation, not building something that endures.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NMFC is externally managed by New Mountain Capital with no direct employees [3]. The management team consists of investment professionals employed by the external adviser. There is no internal organizational culture, no employee base to empower, and no Circle of Safety to evaluate. The externally managed structure inherently creates a principal-agent problem — the manager's incentives (management fees, incentive fees) may diverge from shareholder interests, particularly during portfolio stress.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BDCs compete primarily on cost of capital, origination relationships, and credit selection — NMFC's competitive positioning focuses on its 'defensive growth' specialization without acknowledging specific rivals' strengths or using competitive dynamics for self-improvement [3]. The shrinking portfolio and NAV decline suggest the company is losing ground to larger, better-capitalized BDC competitors rather than learning from them.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NMFC has operated the same BDC business model since its 2011 IPO — originating senior secured loans to PE-backed middle market companies. The $470M portfolio sale is asset disposition under stress, not strategic reinvention [1]. The company has not pivoted, transformed, or adapted its model in response to changing market conditions. The direct lending space has evolved significantly (rise of private credit, institutional competition) but NMFC's approach has remained static.</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aggressive $470M portfolio sale, 21.9% dividend reduction from $0.32 to $0.25/quarter, and $66M share repurchase at below-NAV prices ($8.01 vs. $10.92 NAV) represent decisive if painful action to stabilize the company [1]. Management accepted the market backlash of a significant dividend cut rather than maintaining an unsustainable payout, and the share repurchases at discount signal conviction in the remaining portfolio's underlying value. However, these actions were reactive — forced by credit deterioration and non-accrual increases — rather than proactive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NMFC trades at a 37% discount to NAV ($6.89 vs. $10.92 NAV per share) and offers a 14.5% dividend yield on the reduced $0.25 quarterly distribution, providing deep value if credit quality stabilizes [1]. The company's focus on defensive growth industries — recurring revenue businesses with low cyclicality — provides structural portfolio resilience, and the $66M share repurchase at $8.01 (below NAV) demonstrates management confidence in the portfolio's underlying value. The forward P/E of 7.41 based on adjusted net investment income of $0.32/share suggests the market has priced in significant credit deterioration that may not fully materialize [4].</w:t>
      </w:r>
    </w:p>
    <w:p>
      <w:pPr>
        <w:spacing w:after="120"/>
      </w:pPr>
      <w:r>
        <w:rPr>
          <w:rFonts w:ascii="Calibri" w:hAnsi="Calibri"/>
          <w:b w:val="0"/>
          <w:color w:val="3A4A28"/>
          <w:sz w:val="20"/>
        </w:rPr>
        <w:t>The bear case is severe. NMFC reported a Q1 2026 GAAP net loss of $50.9M (-$0.51/share), NAV declined 5.2% sequentially to $10.92, and non-accruals are elevated at 2.6% of fair value and 5.6% at cost [1]. The 21.9% dividend cut from $0.32 to $0.25/quarter reflects the permanent loss of earning assets from the $470M portfolio sale and signals structurally impaired income coverage. Revenue of $68.79M missed consensus by $1.85M, and the portfolio sale program reduces the asset base that generates future investment income. Rising private credit market stress — particularly in software sector exposure — poses ongoing credit risk, and the non-accrual rate could worsen if economic conditions deteriorate. The 52-week range of $6.73-$10.71 with the stock near lows suggests continued market distrust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non-accrual rates and portfolio credit quality would narrow the 37% discount to NAV, with potential for $3-4 per share of upside to book value [1]</w:t>
      </w:r>
    </w:p>
    <w:p>
      <w:pPr>
        <w:spacing w:before="40" w:after="40"/>
        <w:ind w:left="283"/>
      </w:pPr>
      <w:r>
        <w:rPr>
          <w:rFonts w:ascii="Calibri" w:hAnsi="Calibri"/>
          <w:b/>
          <w:color w:val="4A6B25"/>
          <w:sz w:val="20"/>
        </w:rPr>
        <w:t xml:space="preserve">2. </w:t>
      </w:r>
      <w:r>
        <w:rPr>
          <w:rFonts w:ascii="Calibri" w:hAnsi="Calibri"/>
          <w:b w:val="0"/>
          <w:color w:val="3A4A28"/>
          <w:sz w:val="20"/>
        </w:rPr>
        <w:t>Completion of the $470M portfolio sale de-risks the balance sheet and provides dry powder for redeployment into higher-quality credits at potentially wider spreads</w:t>
      </w:r>
    </w:p>
    <w:p>
      <w:pPr>
        <w:spacing w:before="40" w:after="40"/>
        <w:ind w:left="283"/>
      </w:pPr>
      <w:r>
        <w:rPr>
          <w:rFonts w:ascii="Calibri" w:hAnsi="Calibri"/>
          <w:b/>
          <w:color w:val="4A6B25"/>
          <w:sz w:val="20"/>
        </w:rPr>
        <w:t xml:space="preserve">3. </w:t>
      </w:r>
      <w:r>
        <w:rPr>
          <w:rFonts w:ascii="Calibri" w:hAnsi="Calibri"/>
          <w:b w:val="0"/>
          <w:color w:val="3A4A28"/>
          <w:sz w:val="20"/>
        </w:rPr>
        <w:t>Accretive share repurchases at current prices ($6.89 vs. $10.92 NAV) mechanically increase NAV per share and signal management conviction in remaining portfolio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credit deterioration in the private credit market, particularly in software and technology portfolio companies, could drive further NAV writedowns and additional dividend cuts below the $0.25 run rate [1]</w:t>
      </w:r>
    </w:p>
    <w:p>
      <w:pPr>
        <w:spacing w:before="40" w:after="40"/>
        <w:ind w:left="283"/>
      </w:pPr>
      <w:r>
        <w:rPr>
          <w:rFonts w:ascii="Calibri" w:hAnsi="Calibri"/>
          <w:b/>
          <w:color w:val="4A6B25"/>
          <w:sz w:val="20"/>
        </w:rPr>
        <w:t xml:space="preserve">2. </w:t>
      </w:r>
      <w:r>
        <w:rPr>
          <w:rFonts w:ascii="Calibri" w:hAnsi="Calibri"/>
          <w:b w:val="0"/>
          <w:color w:val="3A4A28"/>
          <w:sz w:val="20"/>
        </w:rPr>
        <w:t>The $470M portfolio sale permanently reduces the earning asset base, creating a structural income gap that cannot be filled without re-leveraging or accepting lower-quality credits — adjusted NII coverage of the $0.25 dividend may erode</w:t>
      </w:r>
    </w:p>
    <w:p>
      <w:pPr>
        <w:spacing w:before="40" w:after="40"/>
        <w:ind w:left="283"/>
      </w:pPr>
      <w:r>
        <w:rPr>
          <w:rFonts w:ascii="Calibri" w:hAnsi="Calibri"/>
          <w:b/>
          <w:color w:val="4A6B25"/>
          <w:sz w:val="20"/>
        </w:rPr>
        <w:t xml:space="preserve">3. </w:t>
      </w:r>
      <w:r>
        <w:rPr>
          <w:rFonts w:ascii="Calibri" w:hAnsi="Calibri"/>
          <w:b w:val="0"/>
          <w:color w:val="3A4A28"/>
          <w:sz w:val="20"/>
        </w:rPr>
        <w:t>BDC sector contagion risk from broader private credit market stress could drive further share price declines regardless of NMFC-specific fundamentals, widening the already-severe 37% NAV discount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NMFC's core business of originating and holding senior secured loans to PE-backed middle market companies involves complex credit analysis, relationship-driven deal sourcing, and bespoke structuring that AI cannot easily replicate [3]. The regulatory complexity of BDC operations, the relationship-intensive nature of sponsor-backed lending, and the need for judgment in credit workouts create meaningful moats against AI displacement. However, AI tools could help competitors more efficiently analyze deal flow, assess credit risk, and price loans — potentially compressing returns across the direct lending market. AI-powered credit scoring and automated underwriting could reduce the information advantage that experienced BDC managers hold. AI Opportunity (0/1): No AI-related revenue. While parent company New Mountain Capital is active in AI investments (Smarter Technologies platform) [2], NMFC itself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Mountain Finance Corporation Q1 2026 Earnings Release — Financial Results, BusinessWire, May 4, 2026</w:t>
      </w:r>
    </w:p>
    <w:p>
      <w:pPr>
        <w:spacing w:before="20" w:after="20"/>
        <w:ind w:left="170"/>
      </w:pPr>
      <w:r>
        <w:rPr>
          <w:rFonts w:ascii="Calibri" w:hAnsi="Calibri"/>
          <w:b/>
          <w:color w:val="4A6B25"/>
          <w:sz w:val="15"/>
        </w:rPr>
        <w:t xml:space="preserve">2. </w:t>
      </w:r>
      <w:r>
        <w:rPr>
          <w:rFonts w:ascii="Calibri" w:hAnsi="Calibri"/>
          <w:b w:val="0"/>
          <w:color w:val="3A4A28"/>
          <w:sz w:val="17"/>
        </w:rPr>
        <w:t>New Mountain Capital Smarter Technologies AI Platform Formation — SmarterDx, Thoughtful.ai, and Access Healthcare, BusinessWire, May 2025</w:t>
      </w:r>
    </w:p>
    <w:p>
      <w:pPr>
        <w:spacing w:before="20" w:after="20"/>
        <w:ind w:left="170"/>
      </w:pPr>
      <w:r>
        <w:rPr>
          <w:rFonts w:ascii="Calibri" w:hAnsi="Calibri"/>
          <w:b/>
          <w:color w:val="4A6B25"/>
          <w:sz w:val="15"/>
        </w:rPr>
        <w:t xml:space="preserve">3. </w:t>
      </w:r>
      <w:r>
        <w:rPr>
          <w:rFonts w:ascii="Calibri" w:hAnsi="Calibri"/>
          <w:b w:val="0"/>
          <w:color w:val="3A4A28"/>
          <w:sz w:val="17"/>
        </w:rPr>
        <w:t>New Mountain Finance Corporation Strategy and Portfolio Analysis — Seeking Alpha, BDCInvestor, and Company Website,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NMFC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