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NMRA</w:t>
      </w:r>
      <w:r>
        <w:rPr>
          <w:rFonts w:ascii="Calibri" w:hAnsi="Calibri"/>
          <w:b/>
          <w:color w:val="1A2010"/>
          <w:sz w:val="40"/>
        </w:rPr>
        <w:t xml:space="preserve">  Neumora Therapeutics, Inc.</w:t>
      </w:r>
    </w:p>
    <w:p>
      <w:pPr>
        <w:spacing w:after="120"/>
      </w:pPr>
      <w:r>
        <w:rPr>
          <w:rFonts w:ascii="Calibri" w:hAnsi="Calibri"/>
          <w:b/>
          <w:color w:val="6E8450"/>
          <w:sz w:val="18"/>
        </w:rPr>
        <w:t>GROWTH SLEEVE · 2026-07-26 · Inspire: 21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Neumora Therapeutics is a clinical-stage biotechnology company pursuing precision medicines for brain diseases through the integration of data science and neuroscience. Following the complete failure of its lead program navacaprant in major depressive disorder (0-for-3 in Phase 3 KOASTAL trials) and 35% workforce reduction, the company retains NMRA-511 (Alzheimer's agitation) and NMRA-898 (schizophrenia) in its remaining pipeline. Founded 2019, headquartered in Boston, Massachusetts.</w:t>
      </w:r>
    </w:p>
    <w:p>
      <w:r>
        <w:rPr>
          <w:rFonts w:ascii="Calibri" w:hAnsi="Calibri"/>
          <w:b/>
          <w:color w:val="6E8450"/>
          <w:sz w:val="18"/>
        </w:rPr>
        <w:t>92 Employees · https://www.neumoratx.com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Navacaprant went 0-for-3 in Phase 3 KOASTAL studies for major depressive disorder — KOASTAL-2 showed -0.3 points vs. placebo on MADRS (p=0.813) and KOASTAL-3 showed patients faring numerically worse on drug than placebo (+0.7 points, p=0.480) [1][2]. The KOASTAL-1 study also failed earlier. This represents the complete failure of the company's lead program and the thesis that precision neuroscience tools could improve CNS trial outcomes. Additionally, NMRA-266 (schizophrenia) was placed on FDA clinical hold after preclinical convulsion findings [3]. AI Deployment (1/2): Neumora's Precision Toolbox integrating translational, clinical, and computational tools for drug discovery represents genuine AI/ML deployment in drug development, though the navacaprant failure calls into question whether the platform actually improves target selection and trial design [2]. Market Share (0/2): No commercial products. Zero revenue. Pipeline largely invalidated by lead program failure. Product Pipeline (1/2): Two clinical programs survive — NMRA-511 in Alzheimer's agitation (Phase 1b success demonstrated) and NMRA-898 in schizophrenia with data expected H2 2026 — but credibility is severely damaged after the navacaprant debacle [1]. R&amp;D Intensity (1/1): R&amp;D spending of $38.6M in Q1 2026 (down from $52.2M a year ago, reflecting post-failure cost cutting) represents near-100% of operational focus.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Neumora's mission to 'confront the global brain disease crisis' through precision medicine remains clear and addresses genuine unmet medical need (MDD affects 280M+ people globally), but the navacaprant Phase 3 failure has severely undermined the mission's credibility — the company cannot live its cause if its drugs do not work [2]. Community Impact (0/2): No evidence of charitable programs or community investment beyond the core drug development mission. Pre-commercial company with 92 employees and declining resources. Employee Retention (0/2): 35% workforce reduction following the navacaprant failure, reducing headcount from approximately 140 to 92 employees [1]. Multiple CEO transitions (Gosebruch to Berns in 2025) and securities fraud lawsuits create an environment of organizational instability, not trust. Insider Buying (0/2): No specific insider buying data identified. Insider ownership of 4.46% with institutional ownership at 38.45%, but no evidence of executives adding to positions during the stock's decline from $17 IPO price to $1.49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the only two available metrics (pre-revenue biotech — revenue growth, profit margin, P/E, and PEG are all null/unavailable). D/E of 76% is manageable with $147.1M cash against $53.4M debt, providing runway into Q3 2027 (~12 months from screen date) [1]. ROE of -148.7% reflects the reality of massive cash burn with no revenue ($222M net loss TTM). Cash burn rate of ~$193M/year implies the company will need additional capital raises before any remaining program could reach commercialization, creating significant dilution risk. Market cap of $276M against $147M cash implies only ~$129M of pipeline optionality value — a fraction of the ~$225M priced in pre-navacaprant failure [1][4]. Liquidity floor check: 1,622,676 avg volume x $1.49 = $2.4M daily — passes, but thin.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Neumora's founding vision of conquering brain diseases through precision medicine was genuinely infinite, but the 0-for-3 Phase 3 navacaprant failure, 35% layoffs, securities fraud lawsuits, and multiple CEO transitions have reduced the company to survival mode. The remaining pipeline represents hope rather than validated purpose. At 92 employees with 12 months of cash runway, Neumora is playing to survive this quarter, not to keep playing indefinitely.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Neumora's cause — conquering brain diseases through precision medicine — is genuine and addresses devastating unmet medical need [2]. However, the cause exists as aspiration, not validated execution. The complete navacaprant Phase 3 failure (0-for-3 in KOASTAL studies), FDA clinical hold on NMRA-266, and subsequent 35% layoffs demonstrate that the cause has not survived its first real test. A Just Cause must be resilient enough to endure failure — Neumora's has been shaken to its foundation after less than seven years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35% workforce reduction following the navacaprant failure decimated a 92-person organization that was already small [1]. Multiple CEO transitions (founder to Gosebruch to Berns) in under four years of public existence signal leadership instability. Securities fraud lawsuits alleging mischaracterized clinical data further erode internal trust [3]. At this size and stage of organizational trauma, psychological safety is effectively impossible — remaining employees are operating in survival mode.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92-person clinical-stage biotech competing against established pharma companies (AbbVie, J&amp;J, Lundbeck) with vastly greater resources, Neumora's competitive positioning emphasizes its precision medicine approach as uniquely differentiated rather than acknowledging competitors' strengths or learning from their CNS drug development experience [2]. No evidence of management framing competition as a learning opportunity.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Neumora's pivot from navacaprant to NMRA-511 and NMRA-898 after the Phase 3 failure is a forced strategic reset driven by program failure, not a cause-driven transformation [1]. The company is too young and too small to have demonstrated genuine existential flexibility — pivoting within your pipeline because your lead drug failed is adaptation under duress, not the kind of bold strategic reinvention Sinek describes. The company has never had a working business model to abandon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Neumora showed courage in running two Phase 3 trials simultaneously (KOASTAL-2 and -3) with 400+ patients each — a bold capital allocation for a pre-revenue company with limited cash [1]. The decision to tackle CNS drug development, the hardest area in pharma with the highest failure rates, also required conviction. However, the 35% post-failure layoffs and pivot to remaining pipeline programs represent rational survival responses, not courageous leadership choices. Co-founder Paul Berns' return to CEO following Gosebruch's departure suggests instability rather than succession planning.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Neumora retains two earlier-stage clinical programs after the devastating navacaprant failure: NMRA-511 in Alzheimer's disease agitation (Phase 1b showed clinically meaningful signal) and NMRA-898 in schizophrenia (MAD data expected H2 2026), plus the underlying Precision Toolbox data science platform [1][2]. At $276M market cap with $147M cash ($93.7M net cash), the market is pricing only ~$129M of pipeline optionality — representing a potential asymmetric setup if either remaining program produces positive data. Cash runway into Q3 2027 provides time for at least one more clinical readout before additional capital is needed. Analyst consensus remains Buy with a $6.28 price target [4].</w:t>
      </w:r>
    </w:p>
    <w:p>
      <w:pPr>
        <w:spacing w:after="120"/>
      </w:pPr>
      <w:r>
        <w:rPr>
          <w:rFonts w:ascii="Calibri" w:hAnsi="Calibri"/>
          <w:b w:val="0"/>
          <w:color w:val="3A4A28"/>
          <w:sz w:val="20"/>
        </w:rPr>
        <w:t>The bear case is overwhelming. Navacaprant went 0-for-3 in Phase 3, with patients in KOASTAL-3 actually faring better on placebo than drug — a comprehensive validation failure for both the molecule and the precision neuroscience platform that was supposed to improve target selection [1]. The company has 12 months of cash runway, and its remaining programs (NMRA-511 Phase 1b, NMRA-898 MAD) are years and hundreds of millions of dollars away from potential commercialization. Dilutive capital raises are virtually certain. Securities fraud lawsuits add legal liability and management distraction [3]. The stock has cratered 91% from its ~$17 IPO price to $1.49, reflecting severe investor disillusionment. With only 92 employees, leadership instability, and a damaged scientific credibility, the company faces existential risk — the most likely outcome for a clinical-stage biotech with a failed lead program and two early-stage backup programs is eventual failure or fire-sale acquisition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NMRA-898 multiple ascending dose data expected H2 2026 in schizophrenia — positive safety and efficacy signals could partially rehabilitate the precision neuroscience platform thesis</w:t>
      </w:r>
    </w:p>
    <w:p>
      <w:pPr>
        <w:spacing w:before="40" w:after="40"/>
        <w:ind w:left="283"/>
      </w:pPr>
      <w:r>
        <w:rPr>
          <w:rFonts w:ascii="Calibri" w:hAnsi="Calibri"/>
          <w:b/>
          <w:color w:val="4A6B25"/>
          <w:sz w:val="20"/>
        </w:rPr>
        <w:t xml:space="preserve">2. </w:t>
      </w:r>
      <w:r>
        <w:rPr>
          <w:rFonts w:ascii="Calibri" w:hAnsi="Calibri"/>
          <w:b w:val="0"/>
          <w:color w:val="3A4A28"/>
          <w:sz w:val="20"/>
        </w:rPr>
        <w:t>NMRA-511 advancement in Alzheimer's disease agitation building on Phase 1b success — the Alzheimer's agitation market represents a significant unmet need with limited competition</w:t>
      </w:r>
    </w:p>
    <w:p>
      <w:pPr>
        <w:spacing w:before="40" w:after="40"/>
        <w:ind w:left="283"/>
      </w:pPr>
      <w:r>
        <w:rPr>
          <w:rFonts w:ascii="Calibri" w:hAnsi="Calibri"/>
          <w:b/>
          <w:color w:val="4A6B25"/>
          <w:sz w:val="20"/>
        </w:rPr>
        <w:t xml:space="preserve">3. </w:t>
      </w:r>
      <w:r>
        <w:rPr>
          <w:rFonts w:ascii="Calibri" w:hAnsi="Calibri"/>
          <w:b w:val="0"/>
          <w:color w:val="3A4A28"/>
          <w:sz w:val="20"/>
        </w:rPr>
        <w:t>Potential strategic transaction or partnership leveraging the Precision Toolbox data science platform, which retains value independent of any single molecule's clinical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runway extends only to Q3 2027 (~12 months) with no revenue and $193M annual burn rate — dilutive capital raises are inevitable and could be severely punitive at a $1.49 stock price with damaged credibility</w:t>
      </w:r>
    </w:p>
    <w:p>
      <w:pPr>
        <w:spacing w:before="40" w:after="40"/>
        <w:ind w:left="283"/>
      </w:pPr>
      <w:r>
        <w:rPr>
          <w:rFonts w:ascii="Calibri" w:hAnsi="Calibri"/>
          <w:b/>
          <w:color w:val="4A6B25"/>
          <w:sz w:val="20"/>
        </w:rPr>
        <w:t xml:space="preserve">2. </w:t>
      </w:r>
      <w:r>
        <w:rPr>
          <w:rFonts w:ascii="Calibri" w:hAnsi="Calibri"/>
          <w:b w:val="0"/>
          <w:color w:val="3A4A28"/>
          <w:sz w:val="20"/>
        </w:rPr>
        <w:t>Remaining pipeline programs are early-stage (Phase 1b and MAD) with years of development and hundreds of millions in spending required before any potential commercialization — the probability-weighted value may be below current market cap</w:t>
      </w:r>
    </w:p>
    <w:p>
      <w:pPr>
        <w:spacing w:before="40" w:after="40"/>
        <w:ind w:left="283"/>
      </w:pPr>
      <w:r>
        <w:rPr>
          <w:rFonts w:ascii="Calibri" w:hAnsi="Calibri"/>
          <w:b/>
          <w:color w:val="4A6B25"/>
          <w:sz w:val="20"/>
        </w:rPr>
        <w:t xml:space="preserve">3. </w:t>
      </w:r>
      <w:r>
        <w:rPr>
          <w:rFonts w:ascii="Calibri" w:hAnsi="Calibri"/>
          <w:b w:val="0"/>
          <w:color w:val="3A4A28"/>
          <w:sz w:val="20"/>
        </w:rPr>
        <w:t>Securities fraud lawsuits alleging mischaracterized clinical data, combined with three consecutive Phase 3 failures, have destroyed the company's credibility with investors and could impair ability to raise capital on reasonable terms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Drug development for complex brain diseases requires biological discovery, physical molecules, clinical trials with human subjects, and FDA regulatory approval that AI cannot substitute [2]. CNS drug development is notoriously difficult with ~90% Phase 3 failure rates driven by blood-brain barrier complexity and incomplete understanding of brain chemistry — this biological complexity is a moat against pure AI-driven disruption. However, AI-powered drug discovery competitors (Recursion, Insilico Medicine) could accelerate rival CNS programs and compress any first-mover advantage Neumora might have in remaining pipeline programs [3]. AI Opportunity (1/1): Neumora's founding thesis integrates data science and computational tools into neuroscience drug development through its Precision Toolbox. While the navacaprant failure challenges the platform's clinical validation, the approach represents genuine AI/ML deployment in drug discovery that could differentiate remaining programs (NMRA-511, NMRA-898)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21</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Neumora Therapeutics Q1 2026 Financial Results and Business Update — GlobeNewsWire, May 7, 2026; navacaprant discontinuation and 35% workforce reduction</w:t>
      </w:r>
    </w:p>
    <w:p>
      <w:pPr>
        <w:spacing w:before="20" w:after="20"/>
        <w:ind w:left="170"/>
      </w:pPr>
      <w:r>
        <w:rPr>
          <w:rFonts w:ascii="Calibri" w:hAnsi="Calibri"/>
          <w:b/>
          <w:color w:val="4A6B25"/>
          <w:sz w:val="15"/>
        </w:rPr>
        <w:t xml:space="preserve">2. </w:t>
      </w:r>
      <w:r>
        <w:rPr>
          <w:rFonts w:ascii="Calibri" w:hAnsi="Calibri"/>
          <w:b w:val="0"/>
          <w:color w:val="3A4A28"/>
          <w:sz w:val="17"/>
        </w:rPr>
        <w:t>Neumora Therapeutics Corporate Website and Pipeline — neumoratx.com, Precision Toolbox and founding mission,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BioPharma Dive and FierceBiotech — navacaprant Phase 3 KOASTAL failure coverage, NMRA-266 clinical hold, securities fraud lawsuits,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NMRA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