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NNN</w:t>
      </w:r>
      <w:r>
        <w:rPr>
          <w:rFonts w:ascii="Calibri" w:hAnsi="Calibri"/>
          <w:b/>
          <w:color w:val="1A2010"/>
          <w:sz w:val="40"/>
        </w:rPr>
        <w:t xml:space="preserve">  NNN REIT, Inc.</w:t>
      </w:r>
    </w:p>
    <w:p>
      <w:pPr>
        <w:spacing w:after="120"/>
      </w:pPr>
      <w:r>
        <w:rPr>
          <w:rFonts w:ascii="Calibri" w:hAnsi="Calibri"/>
          <w:b/>
          <w:color w:val="6E8450"/>
          <w:sz w:val="18"/>
        </w:rPr>
        <w:t>DIVIDEND SLEEVE · 2026-07-28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NNN REIT invests in high-quality single-tenant retail properties subject to long-term net leases. As of Q1 2026, the company owned 3,711 properties across all 50 states, the District of Columbia, and Puerto Rico, with approximately 36 million square feet of gross leasable area, 98.6% occupancy, and a 10.1-year weighted average lease term. The company has increased its annual dividend for 37 consecutive years.</w:t>
      </w:r>
    </w:p>
    <w:p>
      <w:r>
        <w:rPr>
          <w:rFonts w:ascii="Calibri" w:hAnsi="Calibri"/>
          <w:b/>
          <w:color w:val="6E8450"/>
          <w:sz w:val="18"/>
        </w:rPr>
        <w:t>85 Employees · https://www.nnnreit.com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NNN deployed a record $900M+ in acquisitions during 2025 and expanded the portfolio to 3,711 properties in Q1 2026, maintaining its disciplined acquisition strategy at approximately 7.4% initial cap rates [1]. This represents solid incremental execution of the existing net-lease model but not a transformative pivot or new business model. AI Deployment (0/2): No evidence of AI-powered products or quantified AI-driven operational savings; the company's 85-employee lean structure limits AI deployment scope [2]. Market Share (1/2): NNN is a meaningful player in the net-lease REIT space alongside Realty Income (O) and Essential Properties, with a consistent track record of disciplined underwriting and 37 consecutive years of dividend increases, though not the category leader by AUM [1]. Product Pipeline (1/2): 2026 guidance raised to AFFO of $3.53-$3.59 per share (3.5% growth at midpoint), with continued acquisitions funded by $210M retained FCF, dispositions, and leverage-neutral borrowing providing clear visibility [1]. R&amp;D Intensity (1/1): For a net-lease REIT, NNN invests meaningfully in underwriting, tenant credit analysis, and relationship management relative to its lean 85-person operation, maintaining above-peer-average discipline in property selection.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NNN emphasizes disciplined net-lease investing and reliable income generation — a clear operating philosophy that has been consistently executed for 37 years, but essentially describes what any net-lease REIT does without articulating a vision that transcends shareholder returns [3]. Community Impact (1/2): Published 2025-26 Corporate Sustainability Report using GRI, SASB, and TCFD frameworks aligned with UN SDGs; earned Green Lease Leader silver recognition; prohibits forced labor across supply chain [3]. No specific dollar amounts for charitable programs disclosed. Employee Retention (1/2): NNN's Employee Engagement Survey scored above industry benchmarks in every category, Glassdoor shows 100% CEO approval, and culture &amp; values rated 3.9/5 [2]. The lean 85-person team with institutional stability and smooth CEO transition from Jay Whitehurst to Stephen Horn Jr. in 2022 suggest strong retention. However, specific turnover data is unavailable. Insider Buying (1/2): CEO Stephen Horn Jr. and leadership have equity exposure through compensation; no evidence of significant net insider open-market buying in the last 12 months was identified.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NNN's financial profile reflects a stable, income-oriented REIT with strong durability. Q1 2026 revenue of $240.4M (up from $230.9M YoY) with annualized base rent growing 6.9-7% demonstrates steady expansion [1]. Forward P/E of 20.79 is near the 20 target (metric score 0.98). D/E of 109% scores 0.83. Profit margin of 42.08% scores at ceiling [5]. The standout metrics are dividend consistency: 37 consecutive years of payments (scoring 1.0 at 2x weight) and 37 consecutive years of growth (scoring 1.0 at 1x weight) — exceptional among all REITs [1]. Payout ratio of 114% (GAAP basis) scores 0, though the more relevant AFFO payout of 69% is conservative. 5yr dividend growth CAGR of ~3.0% scores 0.5 at 2x weight. ROE of 8.89% is typical for equity REITs with depreciation but below the 15% target. Revenue growth YoY of ~7% scores 0.9. Liquidity cleared: ~1.35M avg volume x $42 = $56.7M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NNN plays a fundamentally long-term game through its triple-net lease model — locking in 10+ year leases with annual escalators and delivering 37 consecutive years of dividend increases through every market environment. The company's consistency is exceptional but its narrow strategic focus limits existential flexibility. Sinek would admire the discipline and endurance while noting the absence of a transformative Just Cause beyond reliable income generation.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NNN exists to provide reliable, growing income through disciplined net-lease investing. This is a clear and consistently executed operating philosophy but falls short of Sinek's definition of a Just Cause — it describes a business model rather than a vision of a better future [3]. The purpose is shareholder-centric rather than service-oriented. However, the 37 consecutive years of dividend increases demonstrate an authentic commitment to this identity that transcends individual leadership or market cycles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NNN's 85-employee operation is remarkably lean for a company with $8B+ market cap and 3,711 properties, suggesting a high-trust environment where individuals are empowered with significant responsibility [2]. Employee Engagement Survey scores above industry benchmarks in every category and Glassdoor's 100% CEO approval support adequate trust. The smooth CEO transition from Whitehurst to Horn (2022) and Board Chair transition from Cosler to Fritsch (2026) demonstrate organizational stability without disruption.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NNN operates alongside Realty Income (O), Essential Properties, and Spirit Realty in the net-lease space, and management's competitive language consistently focuses on disciplined underwriting and maintaining cap rate discipline rather than market share conquest [1]. The company's steady 7.4% acquisition yield and emphasis on tenant credit quality over transaction volume suggests a self-improvement orientation — getting better at what they do rather than beating competitors. No aggressive competitive language about winning share or crushing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NNN has maintained the same single-tenant net-lease strategy for over three decades without any meaningful strategic pivot [1]. While this consistency is a strength in terms of discipline, the company has never expanded into adjacent property types (industrial, data centers, healthcare) or international markets, unlike peer Realty Income. The 85-person team provides operational efficiency but limited strategic depth. In Sinek's framework, NNN is rigid — it has never faced or passed an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NNN has demonstrated a pattern of courageous long-term decisions across multiple crises. The company maintained its dividend through COVID-19 when many retail-focused REITs cut distributions — a principled decision that cost short-term capital but preserved 30+ years of consecutive increases [1]. NNN deployed record capital ($900M+) during the 2022-2023 interest rate shock when competitors pulled back, acquiring properties at attractive yields when others were fearful. The Board's 37 consecutive years of annual dividend increases through recessions, rate cycles, and the pandemic represents perhaps the strongest pattern of choosing long-term commitment over short-term prudence across the entire IOWN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NNN REIT offers a defensive, income-oriented investment with 37 consecutive years of annual dividend increases — one of the longest streaks among all REITs — backed by 3,711 single-tenant retail properties at 98.6% occupancy with 10.1-year weighted average lease terms [1]. The company raised 2026 AFFO guidance to $3.53-$3.59 per share (3.5% growth at midpoint) after Q1 results, with annualized base rent growing 6.9-7% YoY supported by disciplined acquisitions at 7.4% initial cap rates [1]. The 5.70% dividend yield is conservatively covered by a 69% AFFO payout ratio, with $1.2B in available liquidity providing balance sheet resilience. The net-lease model with contractual annual rent escalators delivers inflation-linked, predictable cash flow growth with minimal capital expenditure requirements.</w:t>
      </w:r>
    </w:p>
    <w:p>
      <w:pPr>
        <w:spacing w:after="120"/>
      </w:pPr>
      <w:r>
        <w:rPr>
          <w:rFonts w:ascii="Calibri" w:hAnsi="Calibri"/>
          <w:b w:val="0"/>
          <w:color w:val="3A4A28"/>
          <w:sz w:val="20"/>
        </w:rPr>
        <w:t>The bear case centers on slow growth, interest rate sensitivity, and valuation constraints. Forward P/E of 20.79 and revenue growth of ~7% imply NNN trades at a premium relative to its low-single-digit FFO growth profile (3.5% guided AFFO growth). The 3.0% 5yr dividend CAGR trails inflation, gradually eroding real income value over time [5]. The GAAP payout ratio of 114% (driven by depreciation) obscures the healthier AFFO picture but constrains accelerated dividend growth. Single-tenant retail concentration creates structural risk as e-commerce reshapes the retail landscape, and any large tenant default creates outsized vacancy risk. Rising interest rates compress REIT valuations and increase acquisition borrowing costs, directly impacting the spread between funding costs and cap rates. The 85-person team — while operationally efficient — provides limited strategic depth for navigating potential sector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37 consecutive years of dividend increases positions NNN as a Dividend Aristocrat, attracting institutional income-focused capital in a yield-scarce environment [1]</w:t>
      </w:r>
    </w:p>
    <w:p>
      <w:pPr>
        <w:spacing w:before="40" w:after="40"/>
        <w:ind w:left="283"/>
      </w:pPr>
      <w:r>
        <w:rPr>
          <w:rFonts w:ascii="Calibri" w:hAnsi="Calibri"/>
          <w:b/>
          <w:color w:val="4A6B25"/>
          <w:sz w:val="20"/>
        </w:rPr>
        <w:t xml:space="preserve">2. </w:t>
      </w:r>
      <w:r>
        <w:rPr>
          <w:rFonts w:ascii="Calibri" w:hAnsi="Calibri"/>
          <w:b w:val="0"/>
          <w:color w:val="3A4A28"/>
          <w:sz w:val="20"/>
        </w:rPr>
        <w:t>Raised 2026 AFFO guidance to $3.53-$3.59 per share (3.5% growth at midpoint) with disciplined acquisition pipeline at 7.4% cap rates funded through retained FCF and leverage-neutral borrowing [1]</w:t>
      </w:r>
    </w:p>
    <w:p>
      <w:pPr>
        <w:spacing w:before="40" w:after="40"/>
        <w:ind w:left="283"/>
      </w:pPr>
      <w:r>
        <w:rPr>
          <w:rFonts w:ascii="Calibri" w:hAnsi="Calibri"/>
          <w:b/>
          <w:color w:val="4A6B25"/>
          <w:sz w:val="20"/>
        </w:rPr>
        <w:t xml:space="preserve">3. </w:t>
      </w:r>
      <w:r>
        <w:rPr>
          <w:rFonts w:ascii="Calibri" w:hAnsi="Calibri"/>
          <w:b w:val="0"/>
          <w:color w:val="3A4A28"/>
          <w:sz w:val="20"/>
        </w:rPr>
        <w:t>Net-lease model with built-in annual rent escalators and 10.1-year weighted average lease term provides organic revenue growth insulated from tenant operating performance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higher-for-longer rates compress REIT valuations and increase cost of acquisition financing, directly impacting the spread between borrowing costs and 7.4% cap rates [5]</w:t>
      </w:r>
    </w:p>
    <w:p>
      <w:pPr>
        <w:spacing w:before="40" w:after="40"/>
        <w:ind w:left="283"/>
      </w:pPr>
      <w:r>
        <w:rPr>
          <w:rFonts w:ascii="Calibri" w:hAnsi="Calibri"/>
          <w:b/>
          <w:color w:val="4A6B25"/>
          <w:sz w:val="20"/>
        </w:rPr>
        <w:t xml:space="preserve">2. </w:t>
      </w:r>
      <w:r>
        <w:rPr>
          <w:rFonts w:ascii="Calibri" w:hAnsi="Calibri"/>
          <w:b w:val="0"/>
          <w:color w:val="3A4A28"/>
          <w:sz w:val="20"/>
        </w:rPr>
        <w:t>Single-tenant retail concentration — structural shift toward e-commerce threatens certain tenant categories, and net-lease structure means any individual large tenant default creates outsized vacancy risk [1]</w:t>
      </w:r>
    </w:p>
    <w:p>
      <w:pPr>
        <w:spacing w:before="40" w:after="40"/>
        <w:ind w:left="283"/>
      </w:pPr>
      <w:r>
        <w:rPr>
          <w:rFonts w:ascii="Calibri" w:hAnsi="Calibri"/>
          <w:b/>
          <w:color w:val="4A6B25"/>
          <w:sz w:val="20"/>
        </w:rPr>
        <w:t xml:space="preserve">3. </w:t>
      </w:r>
      <w:r>
        <w:rPr>
          <w:rFonts w:ascii="Calibri" w:hAnsi="Calibri"/>
          <w:b w:val="0"/>
          <w:color w:val="3A4A28"/>
          <w:sz w:val="20"/>
        </w:rPr>
        <w:t>Slow dividend growth (3.0% 5yr CAGR) below inflation erodes real yield value, and the GAAP payout ratio of 114% constrains capacity for meaningful dividend acceleration above the current 3.3% annual increase pace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NNN's business model — owning physical retail properties leased to tenants on long-term triple-net leases (10.1-year weighted average term) — is structurally immune to AI disruption [2]. AI cannot replace physical real estate, and NNN's tenants (convenience stores, auto service centers, restaurants, quick-service restaurants) operate in categories resistant to both e-commerce and AI displacement — these are experiential, necessity-based services requiring physical locations. The 98.6% occupancy rate and contractual annual rent escalators provide inflation-linked cash flow insulation regardless of AI's impact on the broader economy. No analyst reports identify AI as a substitution risk for net-lease REITs. AI Opportunity (0/1): NNN does not generate revenue from AI products or services. AI is purely a potential internal efficiency tool for its lean 85-person operation, with limited scope for meaningful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NNN REIT Q1 2026 Earnings Release and Raised Guidance — revenue $240.4M, AFFO $0.87/share, raised 2026 AFFO guidance to $3.53-$3.59, 37th consecutive dividend increase to $0.60/quarter, April 2026</w:t>
      </w:r>
    </w:p>
    <w:p>
      <w:pPr>
        <w:spacing w:before="20" w:after="20"/>
        <w:ind w:left="170"/>
      </w:pPr>
      <w:r>
        <w:rPr>
          <w:rFonts w:ascii="Calibri" w:hAnsi="Calibri"/>
          <w:b/>
          <w:color w:val="4A6B25"/>
          <w:sz w:val="15"/>
        </w:rPr>
        <w:t xml:space="preserve">2. </w:t>
      </w:r>
      <w:r>
        <w:rPr>
          <w:rFonts w:ascii="Calibri" w:hAnsi="Calibri"/>
          <w:b w:val="0"/>
          <w:color w:val="3A4A28"/>
          <w:sz w:val="17"/>
        </w:rPr>
        <w:t>NNN REIT Employee Engagement, Glassdoor Reviews (100% CEO approval, 3.9/5 culture), Board Chair transition from Cosler to Fritsch,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NNN REIT Corporate Website and 2025-26 Corporate Sustainability Report — GRI/SASB/TCFD frameworks, UN SDG alignment, Green Lease Leader silver, nnnreit.com, May 2026</w:t>
      </w:r>
    </w:p>
    <w:p>
      <w:pPr>
        <w:spacing w:before="20" w:after="20"/>
        <w:ind w:left="170"/>
      </w:pPr>
      <w:r>
        <w:rPr>
          <w:rFonts w:ascii="Calibri" w:hAnsi="Calibri"/>
          <w:b/>
          <w:color w:val="4A6B25"/>
          <w:sz w:val="15"/>
        </w:rPr>
        <w:t xml:space="preserve">4. </w:t>
      </w:r>
      <w:r>
        <w:rPr>
          <w:rFonts w:ascii="Calibri" w:hAnsi="Calibri"/>
          <w:b w:val="0"/>
          <w:color w:val="3A4A28"/>
          <w:sz w:val="17"/>
        </w:rPr>
        <w:t>SEC EDGAR — NNN REIT Form 4 insider transaction filings, Board composition changes,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NNN Key Statistics: P/E 21.37, Forward P/E 20.79, D/E 109%, ROE 8.89%,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