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NOC</w:t>
      </w:r>
      <w:r>
        <w:rPr>
          <w:rFonts w:ascii="Calibri" w:hAnsi="Calibri"/>
          <w:b/>
          <w:color w:val="1A2010"/>
          <w:sz w:val="40"/>
        </w:rPr>
        <w:t xml:space="preserve">  Northrop Grumman Corporation</w:t>
      </w:r>
    </w:p>
    <w:p>
      <w:pPr>
        <w:spacing w:after="120"/>
      </w:pPr>
      <w:r>
        <w:rPr>
          <w:rFonts w:ascii="Calibri" w:hAnsi="Calibri"/>
          <w:b/>
          <w:color w:val="6E8450"/>
          <w:sz w:val="18"/>
        </w:rPr>
        <w:t>GROWTH SLEEVE · 2026-08-10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Northrop Grumman Corporation is a leading global aerospace and defense technology company. The company designs, develops, integrates, and sustains advanced systems spanning aeronautics (B-21 Raider stealth bomber), defense systems (missiles, munitions), mission systems (sensors, networks, cyber), and space systems (satellites, launch vehicles). It is the prime contractor for the U.S. Air Force's B-21 Raider and the Sentinel ICBM replacement program. Headquartered in Falls Church, Virginia.</w:t>
      </w:r>
    </w:p>
    <w:p>
      <w:r>
        <w:rPr>
          <w:rFonts w:ascii="Calibri" w:hAnsi="Calibri"/>
          <w:b/>
          <w:color w:val="6E8450"/>
          <w:sz w:val="18"/>
        </w:rPr>
        <w:t>100,000 Employees · https://www.northropgrumman.com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Northrop Grumman has delivered significant program milestones in the last 5 years — the B-21 Raider stealth bomber completed its first flight in November 2023 and is now accelerating into low-rate production with Aeronautics revenue up 13% in Q2 2026 [1][2]. The Sentinel ICBM program secured a $7.6B contract award in Q2 2026, and the company is expanding internationally with a target to double international sales to $10B annually by 2031 [2]. AI Deployment (1/2): The B-21 factory deploys augmented reality headsets for manufacturing technicians and digital tooling across production lines [3]. Advanced autonomous systems and AI-enabled sensors are integrated into defense products, though no specific AI revenue figures are disclosed. Market Share (2/2): Northrop holds category-defining positions — sole-source prime on the B-21 bomber and Sentinel ICBM, two of the three legs of the U.S. nuclear triad, and a leading provider of space-based missile warning satellites [1][2]. Product Pipeline (1/2): Sentinel ICBM and B-21 production ramp provide multi-decade revenue visibility; international expansion pipeline is specific but timeline is long-dated. R&amp;D Intensity (1/1): R&amp;D spending and IRAD investment are above defense industry peers, supported by $302M quarterly CapEx and significant investment in next-generation systems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Northrop Grumman's stated purpose — 'Defining Possible: We solve the world's most challenging problems' — is clear and connects the company's work to national security and technological advancement, but is not deeply distinctive among defense peers and could apply to any technology company [3]. Community Impact (1/2): Employees logged nearly 140,000 volunteer hours in 2024 valued at $4.6M, and the Northrop Grumman Foundation supports STEM education programs, but the scope is modest relative to the company's $81B market cap [4]. Employee Retention (1/2): Glassdoor rating of 3.8 for culture and values is adequate for the defense sector; employees cite cutting-edge technology work as a positive but describe bureaucratic processes and slow change as drawbacks [3]. No specific tenure or turnover data available. Insider Buying (1/2): CEO Kathy Warden holds significant equity compensation, but no notable net insider buying was identified in the last 12 months beyond routine grants.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95% is above the 70% target, scoring 0.89. ROE of 26.96% exceeds the 15% target, scoring 1.0. Revenue growth YoY of ~5% is below the 10% target, scoring 0.83. 5yr revenue CAGR of ~4.3% is below the 10% target, scoring 0.62. Forward P/E of 19.56 is near the 20 target, scoring 1.0. Profit margin of 10.48% is below the 20% target, scoring 0.52. Forward PEG of 3.28 exceeds the 3.0 floor, scoring 0.0. Growth weighting applied with 2x on ROE, 5yr CAGR, and Forward PEG. Weighted sum: (1×0.89)+(2×1.0)+(1×0.83)+(2×0.62)+(1×1.0)+(1×0.52)+(2×0.0) = 5.48. Max weighted sum: 10. Score: round(5.48/10×10) = 5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Northrop Grumman demonstrates mixed infinite game characteristics. The company's commitment to multi-decade programs like B-21 and Sentinel shows long-horizon thinking, and Kathy Warden has provided stable leadership since 2019. However, the defense industry's dependence on government budget cycles and contract competition introduces inherently finite dynamics — quarterly EAC adjustments and margin pressure on fixed-price contracts reflect the tension between long-term capability building and short-term financial performance.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Northrop Grumman's purpose of 'Defining Possible' connects the company's work to national security and technological advancement. The 80+ year institutional history (tracing back to Jack Northrop's 1939 flying wing vision, now realized in the B-21) demonstrates multi-generational purpose. Strategic decisions — investing billions in B-21 development before production revenue, pursuing the Sentinel ICBM as a 50-year program — trace to this purpose [1][2]. However, the purpose is not as distinctively articulated as a Sinek-canonical Just Cause and is somewhat interchangeable with defense industry peers.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Northrop Grumman under Kathy Warden maintains stable leadership with consistent strategic direction. The company's Glassdoor rating of 3.8 for culture reflects adequate trust, and employees cite meaningful work on cutting-edge systems as a strength [3]. However, reviews also highlight bureaucratic processes, slow decision-making, and organizational silos that limit psychological safety. The defense industry's hierarchical structure and security compartmentalization inherently constrain the open trust environment Sinek envisions.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Northrop Grumman's competitive language focuses on capability development rather than defeating competitors. Management discusses improving production efficiency, expanding international partnerships, and advancing technology rather than 'beating' Lockheed Martin or Raytheon. The company's decision to target international sales growth to $10B (doubling current levels) reflects a focus on expanding its own capability rather than taking share from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Northrop Grumman has evolved significantly over its history — the 2018 acquisition of Orbital ATK transformed the company's space and missile capabilities, and the divestiture of IT services (Perspecta) refocused the portfolio on core defense technology [1]. These were strategic pivots that reshaped the company's revenue mix. However, the changes were incremental and additive rather than transformative abandonments of core business lines.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Kathy Warden has made significant long-term investment decisions — continuing B-21 development through initial cost overruns, pursuing the Sentinel ICBM despite program complexity, and investing in factory modernization with digital tools and augmented reality [2][3]. The willingness to absorb $68M and $91M unfavorable EAC adjustments on Stand-In Attack Weapon and GEM 63XL while maintaining investment in next-generation programs shows commitment to long-term capability over short-term margins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Northrop Grumman delivered a strong Q2 2026 with revenue of $10.9B (up 5% YoY), adjusted EPS of $7.68 (beating consensus of $6.82 by 13%), and raised full-year guidance to $43.75-$44.25B in sales and $28.60-$29.10 in MTM-adjusted EPS [1][2]. Record backlog of $105B (up 17% YoY) with a 1.84x book-to-bill ratio provides exceptional multi-year revenue visibility. The B-21 Raider production ramp drove Aeronautics revenue up 13%, and the $7.6B Sentinel award anchors decades of future work. With $3.65B in free cash flow, 22 consecutive years of dividend growth, and an international expansion strategy targeting $10B in annual overseas sales by 2031, Northrop offers a rare combination of defense-grade revenue durability and long-term growth catalysts [2][5].</w:t>
      </w:r>
    </w:p>
    <w:p>
      <w:pPr>
        <w:spacing w:after="120"/>
      </w:pPr>
      <w:r>
        <w:rPr>
          <w:rFonts w:ascii="Calibri" w:hAnsi="Calibri"/>
          <w:b w:val="0"/>
          <w:color w:val="3A4A28"/>
          <w:sz w:val="20"/>
        </w:rPr>
        <w:t>The primary concern is margin compression and program execution risk. Operating margin fell to 10.1% in Q2 2026 from 13.8% a year ago, driven by $68M and $91M unfavorable EAC adjustments on the Stand-In Attack Weapon and GEM 63XL programs respectively [2]. The Sentinel ICBM program remains a high-profile execution risk — schedule delays or cost overruns on this $100B+ lifecycle program could create significant financial and reputational headwinds. Forward PEG of 3.28 reflects that growth is modest (~5% organic revenue growth) relative to the valuation premium the stock commands. The company's 10.48% profit margin is well below the 20% target for infrastructure scoring, reflecting the inherently lower-margin nature of cost-plus and fixed-price defense contracting versus commercial technology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B-21 Raider transition from low-rate to full-rate production driving Aeronautics revenue growth beyond the current 13% YoY pace, with potential for international variants</w:t>
      </w:r>
    </w:p>
    <w:p>
      <w:pPr>
        <w:spacing w:before="40" w:after="40"/>
        <w:ind w:left="283"/>
      </w:pPr>
      <w:r>
        <w:rPr>
          <w:rFonts w:ascii="Calibri" w:hAnsi="Calibri"/>
          <w:b/>
          <w:color w:val="4A6B25"/>
          <w:sz w:val="20"/>
        </w:rPr>
        <w:t xml:space="preserve">2. </w:t>
      </w:r>
      <w:r>
        <w:rPr>
          <w:rFonts w:ascii="Calibri" w:hAnsi="Calibri"/>
          <w:b w:val="0"/>
          <w:color w:val="3A4A28"/>
          <w:sz w:val="20"/>
        </w:rPr>
        <w:t>Sentinel ICBM program execution milestones that would de-risk the $100B+ lifecycle program and unlock sustained Space Systems revenue growth through the 2030s and beyond</w:t>
      </w:r>
    </w:p>
    <w:p>
      <w:pPr>
        <w:spacing w:before="40" w:after="40"/>
        <w:ind w:left="283"/>
      </w:pPr>
      <w:r>
        <w:rPr>
          <w:rFonts w:ascii="Calibri" w:hAnsi="Calibri"/>
          <w:b/>
          <w:color w:val="4A6B25"/>
          <w:sz w:val="20"/>
        </w:rPr>
        <w:t xml:space="preserve">3. </w:t>
      </w:r>
      <w:r>
        <w:rPr>
          <w:rFonts w:ascii="Calibri" w:hAnsi="Calibri"/>
          <w:b w:val="0"/>
          <w:color w:val="3A4A28"/>
          <w:sz w:val="20"/>
        </w:rPr>
        <w:t>International defense sales expansion toward the $10B annual target by 2031, driven by allied nations increasing defense spending in response to global security threats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Sentinel ICBM program schedule delays or cost overruns could trigger additional EAC adjustments and damage credibility on the company's most strategically important program</w:t>
      </w:r>
    </w:p>
    <w:p>
      <w:pPr>
        <w:spacing w:before="40" w:after="40"/>
        <w:ind w:left="283"/>
      </w:pPr>
      <w:r>
        <w:rPr>
          <w:rFonts w:ascii="Calibri" w:hAnsi="Calibri"/>
          <w:b/>
          <w:color w:val="4A6B25"/>
          <w:sz w:val="20"/>
        </w:rPr>
        <w:t xml:space="preserve">2. </w:t>
      </w:r>
      <w:r>
        <w:rPr>
          <w:rFonts w:ascii="Calibri" w:hAnsi="Calibri"/>
          <w:b w:val="0"/>
          <w:color w:val="3A4A28"/>
          <w:sz w:val="20"/>
        </w:rPr>
        <w:t>Operating margin compression from fixed-price contract losses — $159M in combined unfavorable adjustments in Q2 alone — may persist if engineering challenges continue on GEM 63XL and Stand-In Attack Weapon</w:t>
      </w:r>
    </w:p>
    <w:p>
      <w:pPr>
        <w:spacing w:before="40" w:after="40"/>
        <w:ind w:left="283"/>
      </w:pPr>
      <w:r>
        <w:rPr>
          <w:rFonts w:ascii="Calibri" w:hAnsi="Calibri"/>
          <w:b/>
          <w:color w:val="4A6B25"/>
          <w:sz w:val="20"/>
        </w:rPr>
        <w:t xml:space="preserve">3. </w:t>
      </w:r>
      <w:r>
        <w:rPr>
          <w:rFonts w:ascii="Calibri" w:hAnsi="Calibri"/>
          <w:b w:val="0"/>
          <w:color w:val="3A4A28"/>
          <w:sz w:val="20"/>
        </w:rPr>
        <w:t>Forward PEG of 3.28 and ~5% organic revenue growth leave limited valuation upside; any slowdown in defense budget growth or shift in political priorities could compress the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Northrop Grumman's core business is structurally immune to AI disruption. Defense contracting requires security clearances, classified facilities, decades-long government relationships, and physical manufacturing of stealth aircraft, missiles, satellites, and launch vehicles — none of which AI can substitute [1][2]. The B-21 Raider and Sentinel ICBM programs represent multi-decade sole-source contracts with the U.S. government that cannot be replicated by software. Rising geopolitical tensions and increasing defense budgets globally actually increase demand for Northrop's products. Regulatory barriers (ITAR, security clearances, facility requirements) create insurmountable moats. AI Opportunity (1/1): Northrop actively deploys AI in autonomous systems, sensor fusion, electronic warfare, and cyber defense products. The company integrates AI/ML into mission systems for real-time threat detection and autonomous operations, generating meaningful defense AI revenue as the DoD accelerates AI adoption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Northrop Grumman Q2 FY2026 Earnings Release — investor.northropgrumman.com, July 2026</w:t>
      </w:r>
    </w:p>
    <w:p>
      <w:pPr>
        <w:spacing w:before="20" w:after="20"/>
        <w:ind w:left="170"/>
      </w:pPr>
      <w:r>
        <w:rPr>
          <w:rFonts w:ascii="Calibri" w:hAnsi="Calibri"/>
          <w:b/>
          <w:color w:val="4A6B25"/>
          <w:sz w:val="15"/>
        </w:rPr>
        <w:t xml:space="preserve">2. </w:t>
      </w:r>
      <w:r>
        <w:rPr>
          <w:rFonts w:ascii="Calibri" w:hAnsi="Calibri"/>
          <w:b w:val="0"/>
          <w:color w:val="3A4A28"/>
          <w:sz w:val="17"/>
        </w:rPr>
        <w:t>Northrop Grumman Q2 2026 Earnings Call Highlights — Investing.com/GuruFocus, July 2026</w:t>
      </w:r>
    </w:p>
    <w:p>
      <w:pPr>
        <w:spacing w:before="20" w:after="20"/>
        <w:ind w:left="170"/>
      </w:pPr>
      <w:r>
        <w:rPr>
          <w:rFonts w:ascii="Calibri" w:hAnsi="Calibri"/>
          <w:b/>
          <w:color w:val="4A6B25"/>
          <w:sz w:val="15"/>
        </w:rPr>
        <w:t xml:space="preserve">3. </w:t>
      </w:r>
      <w:r>
        <w:rPr>
          <w:rFonts w:ascii="Calibri" w:hAnsi="Calibri"/>
          <w:b w:val="0"/>
          <w:color w:val="3A4A28"/>
          <w:sz w:val="17"/>
        </w:rPr>
        <w:t>Northrop Grumman Leadership, Culture, and Innovation — ExecutiveGov, Built In,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Northrop Grumman ESG and Sustainability Report — Manufacturing Digital, Docoh, 2024-2025</w:t>
      </w:r>
    </w:p>
    <w:p>
      <w:pPr>
        <w:spacing w:before="20" w:after="20"/>
        <w:ind w:left="170"/>
      </w:pPr>
      <w:r>
        <w:rPr>
          <w:rFonts w:ascii="Calibri" w:hAnsi="Calibri"/>
          <w:b/>
          <w:color w:val="4A6B25"/>
          <w:sz w:val="15"/>
        </w:rPr>
        <w:t xml:space="preserve">5. </w:t>
      </w:r>
      <w:r>
        <w:rPr>
          <w:rFonts w:ascii="Calibri" w:hAnsi="Calibri"/>
          <w:b w:val="0"/>
          <w:color w:val="3A4A28"/>
          <w:sz w:val="17"/>
        </w:rPr>
        <w:t>Stock Analysis — NOC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