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NWL</w:t>
      </w:r>
      <w:r>
        <w:rPr>
          <w:rFonts w:ascii="Calibri" w:hAnsi="Calibri"/>
          <w:b/>
          <w:color w:val="1A2010"/>
          <w:sz w:val="40"/>
        </w:rPr>
        <w:t xml:space="preserve">  Newell Brands Inc.</w:t>
      </w:r>
    </w:p>
    <w:p>
      <w:pPr>
        <w:spacing w:after="120"/>
      </w:pPr>
      <w:r>
        <w:rPr>
          <w:rFonts w:ascii="Calibri" w:hAnsi="Calibri"/>
          <w:b/>
          <w:color w:val="6E8450"/>
          <w:sz w:val="18"/>
        </w:rPr>
        <w:t>DIVIDEND SLEEVE · 2026-08-24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NASDAQ · United States</w:t>
      </w:r>
    </w:p>
    <w:p>
      <w:pPr>
        <w:spacing w:after="80"/>
      </w:pPr>
      <w:r>
        <w:rPr>
          <w:rFonts w:ascii="Calibri" w:hAnsi="Calibri"/>
          <w:b w:val="0"/>
          <w:color w:val="3A4A28"/>
          <w:sz w:val="20"/>
        </w:rPr>
        <w:t>Newell Brands is a consumer products conglomerate housing brands including Rubbermaid, Sharpie, Coleman, Graco, Contigo, and Yankee Candle. Under CEO Chris Peterson (since May 2023), the company has executed a multi-year turnaround built on a 'where to play, how to win' strategy that concentrates resources on top brands and simplifies the portfolio. Q2 2026 revenue of $1.99B (+3.0% YoY) marked the company's first quarter of sales growth in four years, aided by a $126M tariff-recovery tailwind, prompting raised FY2026 guidance [1].</w:t>
      </w:r>
    </w:p>
    <w:p>
      <w:r>
        <w:rPr>
          <w:rFonts w:ascii="Calibri" w:hAnsi="Calibri"/>
          <w:b/>
          <w:color w:val="6E8450"/>
          <w:sz w:val="18"/>
        </w:rPr>
        <w:t>20,000 Employees · https://www.newellbrands.com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Peterson's turnaround has stabilized the business and produced the first quarterly sales growth in four years (+3.0% in Q2 2026), but this is incremental stabilization following years of decline, not a transformative pivot or new revenue stream [1]. AI Deployment (1/2): Peterson stated Newell is 'leveraging AI' in repositioning the company, but no specific AI-shipped products or quantified internal cost savings were found. Market Share (0/2): No evidence found of category leadership or specific share-gain data; Newell's legacy categories (food storage, writing instruments, outdoor gear) face pressure from private label and Amazon Basics competition. Product Pipeline (1/2): Peterson noted the company has 'a much stronger innovation pipeline... than at any point since I've been with the company,' but no specific next-generation products with launch dates or revenue visibility were disclosed [2]. R&amp;D Intensity (0/1): No evidence found that Newell's R&amp;D spend exceeds consumer durables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Newell's stated purpose centers on building trusted consumer brands — generic positioning interchangeable with any consumer products conglomerate, with no evidence of a distinctive, deeply-held purpose shaping strategy. Community Impact (1/2): Newell operates a Corporate Citizenship Council and has relaunched its Chesapeake Bay Fragrance brand in partnership with the nonprofit Keep America Beautiful for shoreline protection — a modest, specific but limited-scope community program [3]. Employee Retention (0/2): No tenure or turnover data was found; the multi-year restructuring under Peterson (portfolio simplification, complexity reduction) implies workforce disruption without specific figures confirming or denying above-average retention. Insider Buying (0/2): No evidence of meaningful net insider buying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(dividend-stock weighting: Consecutive Years Paid 2x, 5yr Dividend Growth CAGR 2x; payout ratio excluded as unavailable due to negative earnings). Newell scores 0 on both ROE (-8.59%, below the 0% floor) and profit margin (-3.05%, below the 0% floor), and its 5-year revenue CAGR of -9.7% is below the -5% floor, also scoring 0 [2]. D/E of 233% scores just 0.29 against the 70%/300% target-floor range, reflecting a heavily leveraged balance sheet. Forward P/E of 9.39x scores a strong 1.0 (capped) given depressed earnings expectations, and Q2 2026 revenue growth of 3.0% scores 0.77. The dividend has been cut twice in three years (from $0.92 in 2021 to $0.28 currently, a 5yr CAGR of roughly -25.7%, scoring 0 at 2x weight) and shows zero consecutive years of growth, though the company has maintained an unbroken payment history since 1992 (scoring 1.0, capped, at 2x weight). Liquidity clears the floor easily at ~$60.9M in daily dollar volume ($6.09 × ~10M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Newell reads as a classic finite-game turnaround story: leadership language centers on 'where to play, how to win' portfolio optimization, cost reduction, and restoring shareholder returns rather than an articulated cause beyond fixing the balance sheet. The two dividend cuts in three years and years of revenue decline (-9.7% 5yr CAGR) reflect a company that has been playing defense, not building toward an enduring purpose — though the Peterson-era stabilization and willingness to cut the dividend to preserve capital show some pragmatic courage.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was found of an articulated purpose beyond restoring profitability and shareholder value; Peterson's public commentary consistently frames strategy in terms of financial turnaround metrics (EBITDA, margin expansion, cash flow) rather than a service-oriented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multi-year restructuring under Peterson, including portfolio simplification and 'reducing complexity' initiatives, along with a prior abrupt CEO transition (Ravi Saligram's retirement announcement amid activist investor pressure), points to an organization under sustained disruption rather than one with demonstrated psychological safety or stability; no retention or tenure data was found to counter this.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Newell framing competitive pressure from private label or Amazon Basics as a source of self-improvement; available commentary discusses these as headwinds to be managed rather than rivals whose strengths are studied and learned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'where to play, how to win' strategy concentrates resources on top brands and sheds non-core businesses — a real strategic rationalization — but this is portfolio pruning around the existing conglomerate model, not a transformative reinvention of what Newell is or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the dividend twice (2023 and 2024, a cumulative ~70% reduction from 2021 levels) to preserve capital and pay down debt was a costly, unpopular decision that prioritized long-term balance sheet health over near-term shareholder income — a genuine example of leadership absorbing pain rather than deferring it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Newell's Q2 2026 results mark a real inflection point — the first quarter of sales growth in four years (+3.0% to $1.99B), EPS beating estimates by 112%, and normalized EBITDA up 45%, driven by a $126M tariff-recovery tailwind and margin expansion, prompted management to raise full-year guidance (revenue growth to 1-2%, normalized EPS to $0.73-$0.77) [1]. Forward P/E of 9.39x reflects deep investor skepticism that may be overdone if the turnaround under CEO Chris Peterson continues to stick — the 'where to play, how to win' strategy has already simplified the portfolio and strengthened the innovation pipeline in Peterson's stated view [2]. The stock yields 4.60% and the company has an unbroken 34-year history of paying some dividend.</w:t>
      </w:r>
    </w:p>
    <w:p>
      <w:pPr>
        <w:spacing w:after="120"/>
      </w:pPr>
      <w:r>
        <w:rPr>
          <w:rFonts w:ascii="Calibri" w:hAnsi="Calibri"/>
          <w:b w:val="0"/>
          <w:color w:val="3A4A28"/>
          <w:sz w:val="20"/>
        </w:rPr>
        <w:t>The bear case is substantial and grounded in the numbers: ROE of -8.59% and profit margin of -3.05% reflect a company still losing money, D/E of 233% signals a highly leveraged balance sheet, and the 5-year revenue CAGR of -9.7% shows a business that has shrunk by nearly half over five years before this quarter's tariff-aided bounce [2]. The dividend has been cut twice since 2021 (from $0.92 to $0.28 annually, a roughly -25.7% 5-year CAGR), and with no consecutive years of dividend growth, income investors have no evidence of a durable payout. Innovation and Inspiration evidence is thin — no quantified AI deployment, no specific next-generation product pipeline with dates, and no data on employee retention or insider conviction. The Q2 beat was substantially aided by a one-time tariff recovery tailwind rather than organic demand improvement, raising the risk that the 'return to growth' narrative proves temporary once that tailwind fades.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of the Peterson turnaround — sustained sales growth beyond the tariff-recovery-aided Q2 2026 beat would validate the 'where to play, how to win' portfolio strategy and could support further multiple re-rating from the current 9.39x forward P/E [1]</w:t>
      </w:r>
    </w:p>
    <w:p>
      <w:pPr>
        <w:spacing w:before="40" w:after="40"/>
        <w:ind w:left="283"/>
      </w:pPr>
      <w:r>
        <w:rPr>
          <w:rFonts w:ascii="Calibri" w:hAnsi="Calibri"/>
          <w:b/>
          <w:color w:val="4A6B25"/>
          <w:sz w:val="20"/>
        </w:rPr>
        <w:t xml:space="preserve">2. </w:t>
      </w:r>
      <w:r>
        <w:rPr>
          <w:rFonts w:ascii="Calibri" w:hAnsi="Calibri"/>
          <w:b w:val="0"/>
          <w:color w:val="3A4A28"/>
          <w:sz w:val="20"/>
        </w:rPr>
        <w:t>Raised FY2026 guidance (normalized EPS to $0.73-$0.77, operating margin to 10.0-10.4%) signals management confidence that margin expansion from portfolio simplification is durable, not one-time [1]</w:t>
      </w:r>
    </w:p>
    <w:p>
      <w:pPr>
        <w:spacing w:before="40" w:after="40"/>
        <w:ind w:left="283"/>
      </w:pPr>
      <w:r>
        <w:rPr>
          <w:rFonts w:ascii="Calibri" w:hAnsi="Calibri"/>
          <w:b/>
          <w:color w:val="4A6B25"/>
          <w:sz w:val="20"/>
        </w:rPr>
        <w:t xml:space="preserve">3. </w:t>
      </w:r>
      <w:r>
        <w:rPr>
          <w:rFonts w:ascii="Calibri" w:hAnsi="Calibri"/>
          <w:b w:val="0"/>
          <w:color w:val="3A4A28"/>
          <w:sz w:val="20"/>
        </w:rPr>
        <w:t>Stronger stated innovation pipeline under Peterson could translate into new product launches across core brands (Rubbermaid, Sharpie, Coleman, Graco) that restore organic volume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Q2 2026 growth and EPS beat were substantially aided by a $126M one-time tariff-recovery tailwind — underlying organic demand trends remain unproven, and revenue guidance of only 1-2% for the full year suggests the growth inflection is fragile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(D/E of 233%) combined with negative ROE (-8.59%) and negative profit margin (-3.05%) leaves little cushion if the turnaround stalls or tariff tailwinds reverse</w:t>
      </w:r>
    </w:p>
    <w:p>
      <w:pPr>
        <w:spacing w:before="40" w:after="40"/>
        <w:ind w:left="283"/>
      </w:pPr>
      <w:r>
        <w:rPr>
          <w:rFonts w:ascii="Calibri" w:hAnsi="Calibri"/>
          <w:b/>
          <w:color w:val="4A6B25"/>
          <w:sz w:val="20"/>
        </w:rPr>
        <w:t xml:space="preserve">3. </w:t>
      </w:r>
      <w:r>
        <w:rPr>
          <w:rFonts w:ascii="Calibri" w:hAnsi="Calibri"/>
          <w:b w:val="0"/>
          <w:color w:val="3A4A28"/>
          <w:sz w:val="20"/>
        </w:rPr>
        <w:t>Two dividend cuts in three years (2023 and 2024, cumulative ~70% reduction) demonstrate the payout is not protected — a third cut is plausible if the balance sheet does not continue to improve, which would remove the primary reason dividend-focused investors would hold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Newell's brands (Rubbermaid, Sharpie, Coleman, Graco, Contigo, Yankee Candle) are physical consumer goods sold through mass retail and e-commerce channels — AI generative tools cannot substitute for manufactured housewares, writing instruments, or outdoor equipment, giving the core business structural protection [1]. Some exposure exists indirectly through AI-optimized private-label and Amazon Basics competition eroding brand premiums in commoditized categories, and AI-driven retail search/recommendation algorithms could further compress Newell's shelf and search visibility versus lower-cost alternatives. AI Opportunity (0/1): Management references 'leveraging AI' for internal repositioning and productivity, but no quantifiable AI-derived revenue or product features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Newell Brands Q2 2026 Earnings and Raised FY2026 Guidance — Revenue $1.99B (+3.0% YoY), Normalized EPS Beat 112%, Tariff Recovery — MarketBeat, Yahoo Finance, StockTitan, July-August 2026</w:t>
      </w:r>
    </w:p>
    <w:p>
      <w:pPr>
        <w:spacing w:before="20" w:after="20"/>
        <w:ind w:left="170"/>
      </w:pPr>
      <w:r>
        <w:rPr>
          <w:rFonts w:ascii="Calibri" w:hAnsi="Calibri"/>
          <w:b/>
          <w:color w:val="4A6B25"/>
          <w:sz w:val="15"/>
        </w:rPr>
        <w:t xml:space="preserve">2. </w:t>
      </w:r>
      <w:r>
        <w:rPr>
          <w:rFonts w:ascii="Calibri" w:hAnsi="Calibri"/>
          <w:b w:val="0"/>
          <w:color w:val="3A4A28"/>
          <w:sz w:val="17"/>
        </w:rPr>
        <w:t>Chris Peterson CEO Turnaround Strategy — 'Where to Play, How to Win', AI Repositioning, Innovation Pipeline Commentary — Canaccord Genuity, Consumer Goods Technology, Newell Brands Investor Relations</w:t>
      </w:r>
    </w:p>
    <w:p>
      <w:pPr>
        <w:spacing w:before="20" w:after="20"/>
        <w:ind w:left="170"/>
      </w:pPr>
      <w:r>
        <w:rPr>
          <w:rFonts w:ascii="Calibri" w:hAnsi="Calibri"/>
          <w:b/>
          <w:color w:val="4A6B25"/>
          <w:sz w:val="15"/>
        </w:rPr>
        <w:t xml:space="preserve">3. </w:t>
      </w:r>
      <w:r>
        <w:rPr>
          <w:rFonts w:ascii="Calibri" w:hAnsi="Calibri"/>
          <w:b w:val="0"/>
          <w:color w:val="3A4A28"/>
          <w:sz w:val="17"/>
        </w:rPr>
        <w:t>Newell Brands Corporate Citizenship and ESG — Chesapeake Bay Fragrance / Keep America Beautiful Partnership — Sahm Capital, CapEdge, Newell Brands 2024 Corporate Citizenship Report</w:t>
      </w:r>
    </w:p>
    <w:p>
      <w:pPr>
        <w:spacing w:before="20" w:after="20"/>
        <w:ind w:left="170"/>
      </w:pPr>
      <w:r>
        <w:rPr>
          <w:rFonts w:ascii="Calibri" w:hAnsi="Calibri"/>
          <w:b/>
          <w:color w:val="4A6B25"/>
          <w:sz w:val="15"/>
        </w:rPr>
        <w:t xml:space="preserve">4. </w:t>
      </w:r>
      <w:r>
        <w:rPr>
          <w:rFonts w:ascii="Calibri" w:hAnsi="Calibri"/>
          <w:b w:val="0"/>
          <w:color w:val="3A4A28"/>
          <w:sz w:val="17"/>
        </w:rPr>
        <w:t>Newell Brands Dividend History — Cuts from $0.92 (2021) to $0.28 (2024-2026), 34-Year Unbroken Payment History Since 1992 — MacroTrends, Dividend Power, StockAnalysis.com</w:t>
      </w:r>
    </w:p>
    <w:p>
      <w:pPr>
        <w:spacing w:before="20" w:after="20"/>
        <w:ind w:left="170"/>
      </w:pPr>
      <w:r>
        <w:rPr>
          <w:rFonts w:ascii="Calibri" w:hAnsi="Calibri"/>
          <w:b/>
          <w:color w:val="4A6B25"/>
          <w:sz w:val="15"/>
        </w:rPr>
        <w:t xml:space="preserve">5. </w:t>
      </w:r>
      <w:r>
        <w:rPr>
          <w:rFonts w:ascii="Calibri" w:hAnsi="Calibri"/>
          <w:b w:val="0"/>
          <w:color w:val="3A4A28"/>
          <w:sz w:val="17"/>
        </w:rPr>
        <w:t>StockAnalysis.com — NWL Key Statistics and Financials: Forward P/E 9.39x, ROE -8.59%, D/E 233%, 5yr Revenue CAGR -9.7%, Stock Price $6.09,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