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OII</w:t>
      </w:r>
      <w:r>
        <w:rPr>
          <w:rFonts w:ascii="Calibri" w:hAnsi="Calibri"/>
          <w:b/>
          <w:color w:val="1A2010"/>
          <w:sz w:val="40"/>
        </w:rPr>
        <w:t xml:space="preserve">  Oceaneering International, Inc.</w:t>
      </w:r>
    </w:p>
    <w:p>
      <w:pPr>
        <w:spacing w:after="120"/>
      </w:pPr>
      <w:r>
        <w:rPr>
          <w:rFonts w:ascii="Calibri" w:hAnsi="Calibri"/>
          <w:b/>
          <w:color w:val="6E8450"/>
          <w:sz w:val="18"/>
        </w:rPr>
        <w:t>GROWTH SLEEVE · 2026-08-04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Oceaneering International provides engineered services and products, including remotely operated vehicles (ROVs), subsea robotics, manufactured products, and aerospace/defense technology solutions. The company serves offshore energy, defense, aerospace, manufacturing, and entertainment industries globally. Oceaneering operates the world's largest ROV fleet and has diversified into AI-powered predictive maintenance, autonomous underwater systems, and defense technology.</w:t>
      </w:r>
    </w:p>
    <w:p>
      <w:r>
        <w:rPr>
          <w:rFonts w:ascii="Calibri" w:hAnsi="Calibri"/>
          <w:b/>
          <w:color w:val="6E8450"/>
          <w:sz w:val="18"/>
        </w:rPr>
        <w:t>11,100 Employees · https://www.oceaneering.com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Oceaneering has diversified beyond pure offshore energy into aerospace/defense technology (ADTech growing 35% in Q1 2026) and integrated AI capabilities through the 2024 acquisition of Global Design Innovation Ltd., but the core business remains subsea ROV operations — meaningful evolution rather than transformative reinvention [1][2]. AI Deployment (1/2): The company deploys AI-powered predictive maintenance systems and autonomous navigation for underwater vehicles through the Global Design Innovation integration, and selected Oracle Fusion Cloud with embedded AI for enterprise operations [4]. These are shipping to customers and generating operational value, though specific AI revenue has not been separately quantified. Market Share (2/2): Oceaneering is the global leader in ROV fleet size and subsea robotics, with Q2 2026 Subsea Robotics revenue of $211M and dominant market position in deepwater operations [1]. Product Pipeline (1/2): ADTech secured a historic defense contract in March 2025 with continued strong awards; Manufactured Products margins improved to 18%; and FY2026 guidance raised after Q2 beat with EBITDA targeted at $390-440M and FCF at $100-120M [1][3]. R&amp;D Intensity (1/1): R&amp;D spending at approximately 6% of revenue is above the oil services industry average, supporting autonomous systems development and digital twin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Oceaneering's vision of 'solving the unsolvable' in extreme environments is energizing and distinctive relative to oilfield services peers, but describes an engineering capability rather than a purpose that transcends industry — it lacks specificity about a future state the company is building toward [5]. Community Impact (1/2): The company employs 11,100 people globally, maintains formal ethics and compliance programs, and publishes sustainability reporting, but no distinctive charitable foundation or community investment programs with specific dollar amounts were identified [6]. Employee Retention (2/2): Strong employee satisfaction — Glassdoor rating of 4.0/5.0 with 80% of employees recommending the company; reviews highlight 'strong executive leadership,' 'wonderful culture,' and 'vibrant' organizational energy; CEO Rod Larson's 9+ year tenure provides leadership stability [5]. Insider Buying (0/2): The prior screen identified significant net insider selling in early 2026 across multiple executives (COO, directors, officers totaling $5M+); no evidence of meaningful insider buying since.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Q2 2026 crushed expectations — revenue of $768.2M (up 10% YoY, beat consensus $735.7M), adjusted EPS $0.63 (vs $0.46 expected), operating income up 11% to $88.2M, and net income up 19% to $65M [1]. D/E improved to 44.17% (scores 1.0, well below 70% target). ROE of 36.12% scores 1.0 (2x weight). Revenue growth YoY ~7% TTM scores 0.9. 5yr revenue CAGR of ~9% scores 0.93 (2x weight). Forward P/E of ~15.8x based on FY2026 guidance midpoint scores 1.0. Profit margin of 12.2% (up from 7.3% a year ago) scores 0.61. Estimated forward PEG of ~1.76 scores 0.62 (2x weight). Weighted sum 8.62/10 = Infrastructure 9. Liquidity check passed: 1.33M avg volume x $29.77 = $39.6M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Oceaneering under CEO Larson demonstrates steady long-term focus on maintaining global subsea robotics leadership while diversifying into defense and AI-powered autonomous systems. The company navigated the brutal 2015-2020 offshore downturn by investing in ROV technology and adjacent markets, showing genuine long-term thinking. However, 'solving the unsolvable' is an engineering ethos rather than a Sinek-level Just Cause, and the company's trajectory is shaped more by industry cycles than an internal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Oceaneering's 'solving the unsolvable' vision is energizing and creates genuine employee identification (Glassdoor reviews reference 'audacious vision'), but it describes an engineering capability rather than a Just Cause in Sinek's terms [5]. The company exists to serve offshore energy and defense customers with engineered solutions — valuable work, but it doesn't articulate a vision of a future state worth sacrificing for. It's an operational identity that could apply to any engineering firm, not a purpose that shapes strategic choices.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Strong trust indicators across multiple dimensions — Glassdoor rating of 4.0/5.0 with 80% recommendation rate, reviews citing 'strong leadership,' 'wonderful culture,' and 'vibrant' organization [5]. CEO Larson's 9+ year tenure and promotion of leaders internally demonstrates organizational stability and career development. The company's ability to retain specialized ROV operators and subsea engineers through industry downturns suggests genuine employee loyalty. Some reviews note bureaucratic friction ('slow to adapt internally'), which is normal for a 11,100-person global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Oceaneering's competitive language focuses on market leadership, dominant ROV fleet size, and technological capability rather than acknowledging what it can learn from competitors like TechnipFMC, Subsea 7, or emerging autonomous underwater vehicle companies [1]. The framing is about being the largest and most capable —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Oceaneering has demonstrated meaningful strategic evolution — diversifying from pure offshore energy into aerospace/defense technology (ADTech growing 35%), entertainment, and AI-powered autonomous systems while maintaining the subsea core [1]. Navigating the 2015-2020 offshore downturn without collapse and emerging with new capabilities shows adaptive capacity. However, these are incremental diversifications rather than a transformative reinvention — the company remains fundamentally an offshore services provider with adjacent segments.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Larson maintained R&amp;D investment (6% of revenue) and strategic diversification during the severe 2015-2020 offshore downturn, when peers were retrenching and cutting capabilities [3]. The company raised FY2026 guidance after Q2, demonstrating confidence. However, heavy insider selling across multiple executives in early 2026 (totaling $5M+) creates tension with the long-term investment narrative, and the company's most courageous bet (ADTech diversification) is still relatively small relative to the core offshore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Oceaneering International crushed Q2 2026 expectations — revenue of $768.2M beat consensus by $32M (up 10% YoY), adjusted EPS of $0.63 beat $0.46 expected, and net income grew 19% to $65M with trailing net margin expanding to 12.2% from 7.3% a year ago [1]. The global ROV leader is firing on all cylinders with improving margins, strengthening balance sheet (D/E improved to 44.17%), and diversification momentum as ADTech delivers 35% growth fueled by a historic defense contract [3]. ROE of 36.12% demonstrates excellent capital efficiency, and FY2026 guidance of $390-440M EBITDA with $100-120M FCF provides clear visibility. At ~15.8x forward P/E, the stock offers reasonable value for a company with structural competitive advantages in physically irreplaceable subsea and defense operations.</w:t>
      </w:r>
    </w:p>
    <w:p>
      <w:pPr>
        <w:spacing w:after="120"/>
      </w:pPr>
      <w:r>
        <w:rPr>
          <w:rFonts w:ascii="Calibri" w:hAnsi="Calibri"/>
          <w:b w:val="0"/>
          <w:color w:val="3A4A28"/>
          <w:sz w:val="20"/>
        </w:rPr>
        <w:t>The bear case centers on cyclical exposure and margin sustainability. Oceaneering remains fundamentally tied to offshore oil and gas capex cycles — any sustained decline in deepwater spending would directly compress the company's largest revenue segments [1]. Q1 2026 showed operating margin compression (down to 8% from 11%) before Q2's recovery, highlighting the business's sensitivity to project timing and cost pressures. The stock has declined from $36 to $29.77 despite strong Q2 results, suggesting the market may be pricing in offshore cycle deceleration. Heavy insider selling across multiple executives in early 2026 (COO, directors, officers totaling $5M+) is a concerning signal about near-term outlook. Profit margin of 12.2% remains below the 20% target, reflecting the capital-intensive nature of subsea operations, and the reinstated dividend at 1.34% yield provides minimal income while consuming cash that could fund growth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ADTech defense segment scaling — 35% revenue growth, historic defense contract, and increasing defense budgets provide counter-cyclical diversification and margin expansion potential against energy cycle volatility [1][3]</w:t>
      </w:r>
    </w:p>
    <w:p>
      <w:pPr>
        <w:spacing w:before="40" w:after="40"/>
        <w:ind w:left="283"/>
      </w:pPr>
      <w:r>
        <w:rPr>
          <w:rFonts w:ascii="Calibri" w:hAnsi="Calibri"/>
          <w:b/>
          <w:color w:val="4A6B25"/>
          <w:sz w:val="20"/>
        </w:rPr>
        <w:t xml:space="preserve">2. </w:t>
      </w:r>
      <w:r>
        <w:rPr>
          <w:rFonts w:ascii="Calibri" w:hAnsi="Calibri"/>
          <w:b w:val="0"/>
          <w:color w:val="3A4A28"/>
          <w:sz w:val="20"/>
        </w:rPr>
        <w:t>AI-powered autonomous ROV and predictive maintenance capabilities (from 2024 Global Design Innovation acquisition) differentiating Oceaneering's service offering and enabling premium pricing in subsea operations [4]</w:t>
      </w:r>
    </w:p>
    <w:p>
      <w:pPr>
        <w:spacing w:before="40" w:after="40"/>
        <w:ind w:left="283"/>
      </w:pPr>
      <w:r>
        <w:rPr>
          <w:rFonts w:ascii="Calibri" w:hAnsi="Calibri"/>
          <w:b/>
          <w:color w:val="4A6B25"/>
          <w:sz w:val="20"/>
        </w:rPr>
        <w:t xml:space="preserve">3. </w:t>
      </w:r>
      <w:r>
        <w:rPr>
          <w:rFonts w:ascii="Calibri" w:hAnsi="Calibri"/>
          <w:b w:val="0"/>
          <w:color w:val="3A4A28"/>
          <w:sz w:val="20"/>
        </w:rPr>
        <w:t>Trailing net margin expansion from 7.3% to 12.2% YoY demonstrating operational leverage — continued margin improvement toward 15%+ would drive significant earnings growth and potential re-rating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Offshore energy capex cycle reversal — a sustained decline in deepwater oil and gas spending driven by energy transition or commodity price weakness would directly compress Oceaneering's largest revenue segments and margins [1]</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across multiple executives in early 2026 (COO, directors, officers totaling $5M+) signals potential near-term concern about the stock's outlook or overvaluation at prior price levels</w:t>
      </w:r>
    </w:p>
    <w:p>
      <w:pPr>
        <w:spacing w:before="40" w:after="40"/>
        <w:ind w:left="283"/>
      </w:pPr>
      <w:r>
        <w:rPr>
          <w:rFonts w:ascii="Calibri" w:hAnsi="Calibri"/>
          <w:b/>
          <w:color w:val="4A6B25"/>
          <w:sz w:val="20"/>
        </w:rPr>
        <w:t xml:space="preserve">3. </w:t>
      </w:r>
      <w:r>
        <w:rPr>
          <w:rFonts w:ascii="Calibri" w:hAnsi="Calibri"/>
          <w:b w:val="0"/>
          <w:color w:val="3A4A28"/>
          <w:sz w:val="20"/>
        </w:rPr>
        <w:t>Profit margin of 12.2% remains well below the 20% target for the infrastructure framework, and Q1 2026's margin compression demonstrates vulnerability to project timing and cost pressures in capital-intensive subsea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Oceaneering's core business is deeply physical — operating ROVs at ocean depths of 3,000+ meters, manufacturing subsea hardware, providing integrity management services on offshore platforms, and deploying robotics in extreme underwater environments [1]. AI cannot replace remotely operated vehicles inspecting subsea pipelines, installing subsea equipment, or performing offshore construction. The regulatory environment (offshore safety standards, defense contracting with classified programs) adds structural barriers to entry. AI actually increases demand for Oceaneering's services as autonomous underwater technology and digital twin analytics enhance its competitive moat and service quality. AI Opportunity (1/1): Oceaneering generates revenue from AI-related capabilities — the 2024 Global Design Innovation acquisition brought AI-powered predictive maintenance and autonomous navigation systems that are deployed commercially for offshore operators, and the Oracle Fusion Cloud AI integration drives enterprise-level operational gains [4]. These capabilities contribute to service differentiation and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Oceaneering International Q2 2026 Earnings Release — Revenue $768.2M, net income $65M, adjusted EPS $0.63, raised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Oceaneering International Q1 2026 Earnings Release — Revenue $692M, ~$1B order intake, April 2026</w:t>
      </w:r>
    </w:p>
    <w:p>
      <w:pPr>
        <w:spacing w:before="20" w:after="20"/>
        <w:ind w:left="170"/>
      </w:pPr>
      <w:r>
        <w:rPr>
          <w:rFonts w:ascii="Calibri" w:hAnsi="Calibri"/>
          <w:b/>
          <w:color w:val="4A6B25"/>
          <w:sz w:val="15"/>
        </w:rPr>
        <w:t xml:space="preserve">3. </w:t>
      </w:r>
      <w:r>
        <w:rPr>
          <w:rFonts w:ascii="Calibri" w:hAnsi="Calibri"/>
          <w:b w:val="0"/>
          <w:color w:val="3A4A28"/>
          <w:sz w:val="17"/>
        </w:rPr>
        <w:t>Oceaneering International — Historic Defense Contract, ADTech Segment Growth, FY2026 Guidance EBITDA $390-440M, 2025-2026</w:t>
      </w:r>
    </w:p>
    <w:p>
      <w:pPr>
        <w:spacing w:before="20" w:after="20"/>
        <w:ind w:left="170"/>
      </w:pPr>
      <w:r>
        <w:rPr>
          <w:rFonts w:ascii="Calibri" w:hAnsi="Calibri"/>
          <w:b/>
          <w:color w:val="4A6B25"/>
          <w:sz w:val="15"/>
        </w:rPr>
        <w:t xml:space="preserve">4. </w:t>
      </w:r>
      <w:r>
        <w:rPr>
          <w:rFonts w:ascii="Calibri" w:hAnsi="Calibri"/>
          <w:b w:val="0"/>
          <w:color w:val="3A4A28"/>
          <w:sz w:val="17"/>
        </w:rPr>
        <w:t>Oracle Press Release — Oceaneering Taps Oracle Fusion Cloud Applications with Embedded AI, January 2025</w:t>
      </w:r>
    </w:p>
    <w:p>
      <w:pPr>
        <w:spacing w:before="20" w:after="20"/>
        <w:ind w:left="170"/>
      </w:pPr>
      <w:r>
        <w:rPr>
          <w:rFonts w:ascii="Calibri" w:hAnsi="Calibri"/>
          <w:b/>
          <w:color w:val="4A6B25"/>
          <w:sz w:val="15"/>
        </w:rPr>
        <w:t xml:space="preserve">5. </w:t>
      </w:r>
      <w:r>
        <w:rPr>
          <w:rFonts w:ascii="Calibri" w:hAnsi="Calibri"/>
          <w:b w:val="0"/>
          <w:color w:val="3A4A28"/>
          <w:sz w:val="17"/>
        </w:rPr>
        <w:t>Glassdoor — Oceaneering International Reviews (1,632 reviews, 4.0/5.0 rating, 80% recommend),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Sustainalytics — Oceaneering International ESG Risk Rating (average management),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