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w:t>
      </w:r>
      <w:r>
        <w:rPr>
          <w:rFonts w:ascii="Calibri" w:hAnsi="Calibri"/>
          <w:b/>
          <w:color w:val="1A2010"/>
          <w:sz w:val="40"/>
        </w:rPr>
        <w:t xml:space="preserve">  Principal Financial Group, Inc.</w:t>
      </w:r>
    </w:p>
    <w:p>
      <w:pPr>
        <w:spacing w:after="120"/>
      </w:pPr>
      <w:r>
        <w:rPr>
          <w:rFonts w:ascii="Calibri" w:hAnsi="Calibri"/>
          <w:b/>
          <w:color w:val="6E8450"/>
          <w:sz w:val="18"/>
        </w:rPr>
        <w:t>DIVIDEND SLEEVE · 2026-07-22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Principal Financial Group provides retirement, asset management, and insurance products and services to businesses, individuals, and institutional clients worldwide. The company operates through Retirement and Income Solutions, Principal Asset Management, and Benefits and Protection segments, managing over $700B in assets under management. Founded in 1879, headquartered in Des Moines, Iowa. Market cap approximately $24.1 billion.</w:t>
      </w:r>
    </w:p>
    <w:p>
      <w:r>
        <w:rPr>
          <w:rFonts w:ascii="Calibri" w:hAnsi="Calibri"/>
          <w:b/>
          <w:color w:val="6E8450"/>
          <w:sz w:val="18"/>
        </w:rPr>
        <w:t>19,700 Employees · https://www.principal.com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Principal's Global Asset Management delivered record gross sales of $37B in Q1 2026 (+21% YoY), driven by strong demand for private markets and active ETF business — a genuine product innovation that opened a new fee revenue stream [1]. Retirement transfer deposits grew 35% YoY, and the company has evolved from a life insurance company to a diversified financial services platform spanning retirement, asset management, and benefits over its 147-year history. AI Deployment (1/2): CEO Deanna Strable mandated AI literacy training across the C-suite and rolled out the company's first-ever AI literacy program for all 19,700 employees; CIO Kathy Kay balances traditional AI (used for a decade in underwriting) with emerging GenAI capabilities, though no quantified revenue or cost savings from AI were reported [2]. Market Share (1/2): Principal is a meaningful player in workplace retirement ($500B+ in retirement AUM), ranking among the top retirement plan providers for U.S. small-to-medium businesses, but trails Fidelity, Vanguard, and Empower in overall scale [1]. Product Pipeline (0/2): No specific next-gen products announced with defined timelines and revenue visibility; growth is driven by organic expansion of existing product lines rather than pipeline launches. R&amp;D Intensity (0/1): Technology investment is meaningful for a financial services firm but falls below the R&amp;D intensity standard measured by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Principal's stated purpose — 'to make financial security accessible to all' — is specific, thoughtful, and connects the company's work to financial inclusion, a meaningful social cause [3]. This purpose has shaped strategic decisions over the company's 147-year history, including expansion into small business retirement plans and emerging markets. Named one of the World's Most Ethical Companies, validating consistent values. Community Impact (2/2): Principal's ESG task force drives sustainability commitments including a 40% U.S. carbon emissions reduction target by 2035 with net-zero by 2050, and the company has launched financial inclusion, diversity, and environmental sustainability programs with specific measurable targets [4]. The scope and specificity of these commitments distinguish Principal from peers. Employee Retention (1/2): CEO Strable's 36-year tenure (joined 1990, rose through CFO to COO to CEO) exemplifies a promote-from-within culture; Glassdoor rating of 3.9/5 across 2,800+ reviews cites career development and culture as positives [2]. However, 'senior leadership' is a cited negative, and no specific retention data confirms mission-driven staying. Insider Buying (0/2): Net insider selling of approximately $3.1M in the last 12 months. Insiders own only 1.13% of shares. No meaningful open-market purchases detected — recent Form 4 filings show executive stock sales including 10,745 shares by one officer and 13,920 shares by the Asia president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EPS of $2.17 (beating estimates of $2.03 by 6.9%) with revenue of $4.16B (+6% YoY) and 13% adjusted EPS growth, prompting management to reaffirm 9-12% full-year EPS growth guidance and 14-16% ROE target [1]. D/E of 34% is well below the 70% target, reflecting conservative balance sheet management. Forward P/E of 10.67x scores perfectly against the 20x target, representing an attractive entry point for a company guiding double-digit EPS growth. ROE of 13.77% is just below the 15% target, reflecting the diversified financial services business mix. Profit margin of 9.96% is below the 20% target but improved from 7.6% in the prior period. Dividend metrics are strong: 24 consecutive years paid, 14 consecutive years of growth, 5-year dividend growth CAGR of 5.75% (near the 6% target), and payout ratio of approximately 38% [5]. Liquidity floor easily cleared at ~$127M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Principal Financial Group plays a moderately infinite game rooted in its 147-year history and purpose of making financial security accessible. CEO Strable's promotion from within after 36 years embodies long-term thinking, and the company's consistent dividend growth through market cycles (including growing the dividend through COVID-19 when peers cut) demonstrates patient capital allocation. The AI literacy initiative and sustainability commitments show forward-looking investment in organizational capability beyond quarterly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Principal's purpose — making financial security accessible to all — is genuine, inclusive, and has been validated by 147 years of serving retirement savers and businesses [3]. The company's expansion into financial inclusion, small business retirement plans, and emerging markets reflects strategic alignment with this cause. Named World's Most Ethical Companies, confirming values consistency. However, the purpose, while genuine, is shared by many financial services firms and hasn't been tested by a transformative strategic pivot that proves it transcends the existing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Strable's 36-year tenure at Principal (joining in 1990, rising through CFO to COO to CEO) demonstrates a promote-from-within culture that builds institutional trust [2]. Glassdoor's 3.9/5 rating with culture cited as a positive suggests adequate organizational health. The World's Most Ethical Companies designation reflects decision-making integrity. However, 'senior leadership' is listed as a common negative in reviews, and no exceptional trust evidence (voluntary turnover data, psychological safety examples)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Principal acknowledges larger competitors — Fidelity, Vanguard, Empower — as having scale advantages while using that competitive pressure to differentiate through workplace retirement expertise for SMBs, specialty benefits, and international asset management [1]. Management's competitive language focuses on serving its niche and building distinct capabilities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147-year history, Principal has evolved from a life insurance company to a diversified financial services platform spanning retirement, asset management, and benefits, including recent expansion into active ETFs and private markets [3]. The demutualization in 2001 (converting from mutual insurance to public company) was a structural reinvention. However, these changes have been gradual extensions rather than dramatic strategic pivots — the company has steadily expanded within adjacent financial services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Strable's mandated AI literacy program for all 19,700 employees demonstrates willingness to invest in long-term organizational capability even when the immediate ROI is uncertain [2]. Principal maintained and grew its dividend through the COVID-19 pandemic (from $2.24 in 2020 to $2.44 in 2021) when many financial services peers cut dividends, showing conviction in long-term capital return discipline. The company's 40% carbon reduction target by 2035 represents a significant resource commitment to sustainability rather than short-term earnings maximization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Principal Financial Group delivered a strong Q1 2026 with EPS of $2.17 (beating consensus by 6.9%), revenue of $4.16B (+6% YoY), and 13% adjusted EPS growth, prompting reaffirmation of 9-12% full-year EPS growth guidance and 14-16% ROE target [1]. Global Asset Management achieved record gross sales of $37B (+21% YoY) driven by private markets and active ETF demand, and retirement transfer deposits surged 35% YoY, demonstrating strong momentum across both growth engines. At $111.67 with a forward P/E of just 10.67x and a 3.02% dividend yield backed by 14 consecutive years of growth (5.75% 5-year CAGR), PFG offers compelling total return potential through dividend income plus double-digit EPS growth [5]. The 147-year operating history, World's Most Ethical Companies designation, and proactive AI strategy under CEO Strable provide franchise durability.</w:t>
      </w:r>
    </w:p>
    <w:p>
      <w:pPr>
        <w:spacing w:after="120"/>
      </w:pPr>
      <w:r>
        <w:rPr>
          <w:rFonts w:ascii="Calibri" w:hAnsi="Calibri"/>
          <w:b w:val="0"/>
          <w:color w:val="3A4A28"/>
          <w:sz w:val="20"/>
        </w:rPr>
        <w:t>The bear case centers on competitive threats and structural margin constraints. Profit margin of 9.96% is thin for a financial services company and reflects the insurance business mix, limiting operating leverage even as revenue grows [5]. AI-powered robo-advisors and automated retirement planning tools threaten to commoditize Principal's advisory services over time, and larger competitors (Fidelity, Vanguard) have deeper technology budgets and lower-cost structures [2]. Revenue growth of approximately 5% YoY is modest relative to the insurance and asset management peers, and the 5-year revenue trajectory has been uneven due to investment income volatility. Net insider selling of $3.1M in the last 12 months (with insiders owning only 1.13% of shares) suggests limited management conviction at current prices. The company's ESG and sustainability positioning, while genuine, has drawn political scrutiny in the current anti-ESG environment, creating headline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Asset Management record gross sales of $37B (+21% YoY) driven by private markets and active ETF business, providing fee revenue acceleration into the second half of 2026 [1]</w:t>
      </w:r>
    </w:p>
    <w:p>
      <w:pPr>
        <w:spacing w:before="40" w:after="40"/>
        <w:ind w:left="283"/>
      </w:pPr>
      <w:r>
        <w:rPr>
          <w:rFonts w:ascii="Calibri" w:hAnsi="Calibri"/>
          <w:b/>
          <w:color w:val="4A6B25"/>
          <w:sz w:val="20"/>
        </w:rPr>
        <w:t xml:space="preserve">2. </w:t>
      </w:r>
      <w:r>
        <w:rPr>
          <w:rFonts w:ascii="Calibri" w:hAnsi="Calibri"/>
          <w:b w:val="0"/>
          <w:color w:val="3A4A28"/>
          <w:sz w:val="20"/>
        </w:rPr>
        <w:t>Full-year 2026 EPS guidance of 9-12% growth (consensus $9.39) at just 10.67x forward P/E offers attractive risk-adjusted total return with 3.02% dividend yield [1][5]</w:t>
      </w:r>
    </w:p>
    <w:p>
      <w:pPr>
        <w:spacing w:before="40" w:after="40"/>
        <w:ind w:left="283"/>
      </w:pPr>
      <w:r>
        <w:rPr>
          <w:rFonts w:ascii="Calibri" w:hAnsi="Calibri"/>
          <w:b/>
          <w:color w:val="4A6B25"/>
          <w:sz w:val="20"/>
        </w:rPr>
        <w:t xml:space="preserve">3. </w:t>
      </w:r>
      <w:r>
        <w:rPr>
          <w:rFonts w:ascii="Calibri" w:hAnsi="Calibri"/>
          <w:b w:val="0"/>
          <w:color w:val="3A4A28"/>
          <w:sz w:val="20"/>
        </w:rPr>
        <w:t>Company-wide AI literacy program for 19,700 employees positioning Principal for operational efficiency gains and client service improvements as GenAI tools mature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advisory services — robo-advisors and automated retirement planning tools threaten to commoditize workplace retirement advisory where Principal generates significant fees, and larger competitors have deeper technology budgets [2]</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of 9.96% leave limited buffer for underwriting losses, market downturns, or competitive fee compression in asset management [5]</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$3.1M with insiders owning only 1.13% of shares signals limited management conviction, and anti-ESG political scrutiny creates headline risk for the company's sustainability commitments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Principal's core businesses face differentiated but manageable AI exposure. The retirement plan administration and asset management segments face moderate risk from AI-powered robo-advisors and automated retirement planning tools that could commoditize advisory services at lower cost [2]. However, Principal's deep employer relationships in workplace retirement (complex integration, compliance requirements, fiduciary obligations), regulatory barriers in insurance (Benefits and Protection), and long-term institutional client relationships create meaningful switching costs that AI cannot easily overcome. CEO Strable's proactive AI literacy program for 19,700 employees demonstrates awareness and organizational readiness [2]. AI Opportunity (0/1): Principal deploys traditional AI in underwriting and is expanding GenAI capabilities company-wide, but these are internal efficiency tools rather than revenue-generating AI products or services. No quantified AI-specific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Principal Financial Group Q1 2026 Earnings — EPS $2.17 (beat by 6.9%), revenue $4.16B (+6% YoY), record $37B GAM gross sales, reaffirmed 9-12% EPS growth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Fortune — 'How Principal Financial's New CEO Brought AI Religion to the C-Suite', November 2025; CIO — Principal Financial CIO Kathy Kay on AI Strategy, 2026</w:t>
      </w:r>
    </w:p>
    <w:p>
      <w:pPr>
        <w:spacing w:before="20" w:after="20"/>
        <w:ind w:left="170"/>
      </w:pPr>
      <w:r>
        <w:rPr>
          <w:rFonts w:ascii="Calibri" w:hAnsi="Calibri"/>
          <w:b/>
          <w:color w:val="4A6B25"/>
          <w:sz w:val="15"/>
        </w:rPr>
        <w:t xml:space="preserve">3. </w:t>
      </w:r>
      <w:r>
        <w:rPr>
          <w:rFonts w:ascii="Calibri" w:hAnsi="Calibri"/>
          <w:b w:val="0"/>
          <w:color w:val="3A4A28"/>
          <w:sz w:val="17"/>
        </w:rPr>
        <w:t>Principal Financial Group Corporate Website — Leadership, 147-year history, mission statement, World's Most Ethical Companies, principal.com,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Principal Financial Group Sustainability Strategy — ESG Task Force, 40% carbon reduction by 2035, net-zero by 2050, DI&amp;E commitments, principal.com,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PFG Key Statistics (PE 12.78, Fwd PE 10.67, D/E 34%, ROE 13.77%, dividend $3.28, 14yr growth streak),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