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PFLT</w:t>
      </w:r>
      <w:r>
        <w:rPr>
          <w:rFonts w:ascii="Calibri" w:hAnsi="Calibri"/>
          <w:b/>
          <w:color w:val="1A2010"/>
          <w:sz w:val="40"/>
        </w:rPr>
        <w:t xml:space="preserve">  PennantPark Floating Rate Capital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2026-08-06 · Inspire: 26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PennantPark Floating Rate Capital Ltd. is a business development company (BDC) that primarily invests in U.S. middle-market companies through floating-rate senior secured loans, including first lien and second lien secured debt and subordinated debt investments. The company's $2.6B portfolio spans 162 companies with 99% variable-rate exposure. Externally managed by PennantPark Investment Advisors LLC, founded by Arthur Penn. Headquartered in Miami, Florida.</w:t>
      </w:r>
    </w:p>
    <w:p>
      <w:r>
        <w:rPr>
          <w:rFonts w:ascii="Calibri" w:hAnsi="Calibri"/>
          <w:b/>
          <w:color w:val="6E8450"/>
          <w:sz w:val="18"/>
        </w:rPr>
        <w:t>https://www.pennantpark.com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PennantPark Floating Rate Capital is an externally managed BDC that has operated the same lending model since its 2011 IPO — originating floating-rate senior secured loans to middle-market companies [2]. Growing the portfolio from ~$1B to $2.6B represents scaling the existing business, not a product launch or business model transformation. AI Deployment (0/2): No AI products or AI-driven investment tools have been disclosed [2]. Market Share (0/2): The BDC market is fragmented with over 40 publicly traded BDCs; PFLT holds no leadership position or differentiated market share [3]. Pipeline (0/2): No next-generation products or strategies with specific timelines have been announced. R&amp;D Intensity (0/1): As an externally managed financial vehicle, PFLT has no R&amp;D function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PennantPark's stated purpose is to 'maximize returns for shareholders through strategic investments in middle markets companies' — a generic financial mission indistinguishable from any peer BDC [2]. Community Impact (0/2): No evidence of charitable programs, foundation activities, or community investment initiatives was identified [2]. Employee Retention (0/2): As an externally managed BDC, PFLT itself has no employees; it is managed by PennantPark Investment Advisors. No retention data for the advisory team was found [2]. Insider Buying (1/2): A PennantPark director made a fresh share purchase in May 2026, though the transaction size was modest and represents a single instance rather than a pattern of conviction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161% reflects BDC-typical leverage but is above the 70% target (score 0.60) [1]. ROE of 7.4% is below the 15% target (score 0.49) [3]. Revenue growth is strong at 15.3% YoY TTM and ~24% five-year CAGR, both exceeding the 10% target [3]. Forward P/E of 6.6x is well below the 20x target [3]. Profit margin of 23.1% exceeds the 20% target [3]. Dividend metrics are mixed: 14 consecutive years of payments and growth score at maximum, but the payout ratio of 195% is far above the 100% floor (score 0), and the 5-year dividend growth CAGR of 1.5% is well below the 6% target (score 0.26) [4]. The transition to a lower $0.08/month base dividend plus variable supplemental in July 2026 reflects management's acknowledgment that prior distributions were unsustainable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PennantPark Floating Rate Capital is a quintessentially finite player. The company exists to generate risk-adjusted returns for investors through leveraged lending — there is no Just Cause, no vision of a future worth fighting for, and no mission beyond capital allocation. Founder Arthur Penn has provided stable 17-year leadership, which creates some organizational continuity, but the business model has remained static since inception with no evidence of strategic adaptation or purpose-driven decision-making.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PennantPark exists to 'maximize shareholder returns through strategic investments' — a purely financial objective with no articulated vision of a better future [2]. There is no Just Cause. The company's purpose is to deploy capital profitably, which is a legitimate business function but not an inspiring vision that invites sacrifice or contribution beyond financial returns.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As an externally managed BDC, PennantPark's 'team' is the advisory firm staff. Founder Arthur Penn has led the firm for 17+ years, and the senior investment professionals average over 30 years of industry experience, providing leadership stability [2]. The small, experienced team structure likely fosters adequate trust. However, no specific evidence of exceptional organizational trust, employee empowerment, or cultural practices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 worthy rival mindset. BDC industry communication typically focuses on portfolio performance, yields, and credit quality relative to peers in competitive, market-share-oriented language rather than a learning-oriented competitive framework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PennantPark Floating Rate Capital has operated the same floating-rate lending model since its 2011 IPO. The portfolio has grown in size but the fundamental strategy — first lien senior secured loans to U.S. middle-market companies — has remained unchanged for 15 years [2]. The July 2026 shift to a base-plus-supplemental dividend policy is a distribution change, not a strategic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 that sacrificed short-term results for long-term capability. The company's consistent but unsustainable dividend policy (195% payout ratio) prioritized short-term income distribution over balance sheet strength, and the eventual dividend restructuring in July 2026 was reactive rather than proactive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PennantPark Floating Rate Capital maintains a $2.6B portfolio of floating-rate senior secured loans across 162 middle-market companies, with 99% variable-rate exposure providing natural protection against interest rate volatility [1]. Q2 FY2026 net investment income was $25.7M ($0.26/share), with core NII of $0.27/share, and the portfolio's weighted average yield of 9.8% supports the company's 17.3% dividend yield [1]. Non-accrual investments remain below 1% of the portfolio at cost, reflecting disciplined credit underwriting under founder Arthur Penn's 17-year leadership [1]. The stock trades at a 32% discount to NAV ($7.10 vs. $10.47) and at 6.6x forward earnings, offering deep value if credit quality holds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32% NAV discount reflects legitimate concerns about distribution sustainability and portfolio quality. PFLT has an EPS-based payout ratio of 195% — paying out nearly twice reported earnings after unrealized losses — and the transition to a lower base dividend ($0.08/month vs. previous $0.1025/month) signals management's recognition that the prior distribution was unsustainable [1][4]. The stock has declined 33% from its 52-week high of $10.60, and with $1.39B in debt against $1.04B in net assets (1.61x leverage), any credit deterioration in the middle-market loan portfolio could trigger a downward spiral in NAV and force further distribution cuts [1]. Rising defaults in leveraged loans would disproportionately impact PFLT's concentrated middle-market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Portfolio yield of 9.8% on floating-rate loans provides NII tailwind if interest rates remain elevated; supplemental dividend increases possible as credit spreads normalize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32% discount to NAV provides margin of safety; any positive catalyst (credit improvement, distribution stability) could trigger re-rating toward NAV of $10.47/share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monthly base-plus-supplemental dividend policy beginning July 2026 provides transparency and flexibility, potentially attracting income-focused investors seeking sustainable distributions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EPS-based payout ratio of 195% is unsustainable long-term; further dividend cuts would pressure the already-depressed share price and erode investor confidence in the income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Middle-market leveraged loan portfolio carries concentration risk — any recession-driven default cycle would accelerate NAV erosion from the current $10.47/share toward or below the $7.10 stock price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1.61x debt-to-equity leverage amplifies losses; $1.39B in debt obligations could force asset sales at distressed prices if credit markets seize or refinancing costs spike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PennantPark's core business of originating and managing middle-market loans relies on relationship-driven credit underwriting, due diligence, and portfolio monitoring — functions that require human judgment and trusted borrower relationships that AI cannot fully replicate [2]. The BDC structure itself (a regulated investment vehicle) is protected by regulatory requirements and capital allocation expertise. However, AI-powered credit scoring and automated lending platforms (e.g., from fintech lenders) could gradually compress spreads in the middle-market lending space by improving risk assessment and reducing origination costs [2]. The threat is moderate — AI enhances rather than replaces the need for capital, but AI-native competitors could emerge as more efficient lenders. AI Opportunity (0/1): PFLT generates no revenue from AI products or services; the company has not disclosed any AI-driven investment tools or AI-related revenue streams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PennantPark Floating Rate Capital Q2 FY2026 Earnings Release (quarter ended March 31, 2026) — pflt.pennantpark.com,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PennantPark Corporate Profile, Leadership, and About — pennantpark.com, pflt.pennantpark.com,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PFLT Key Statistics and Financial Data,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PFLT Dividend Analysis and Investment Coverage,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