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PMT</w:t>
      </w:r>
      <w:r>
        <w:rPr>
          <w:rFonts w:ascii="Calibri" w:hAnsi="Calibri"/>
          <w:b/>
          <w:color w:val="1A2010"/>
          <w:sz w:val="40"/>
        </w:rPr>
        <w:t xml:space="preserve">  PennyMac Mortgage Investment Trust</w:t>
      </w:r>
    </w:p>
    <w:p>
      <w:pPr>
        <w:spacing w:after="120"/>
      </w:pPr>
      <w:r>
        <w:rPr>
          <w:rFonts w:ascii="Calibri" w:hAnsi="Calibri"/>
          <w:b/>
          <w:color w:val="6E8450"/>
          <w:sz w:val="18"/>
        </w:rPr>
        <w:t>DIVIDEND SLEEVE · 2026-08-05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PennyMac Mortgage Investment Trust is an externally managed specialty finance REIT that invests primarily in residential mortgage loans and mortgage-related assets. Managed by PNMAC Capital Management, PMT generates income through mortgage servicing rights, credit risk transfer investments, correspondent lending, and private-label securitizations. Book value per share was $14.83 at June 30, 2026, with total assets of $25.1B and a servicing portfolio approaching $700B through its manager.</w:t>
      </w:r>
    </w:p>
    <w:p>
      <w:r>
        <w:rPr>
          <w:rFonts w:ascii="Calibri" w:hAnsi="Calibri"/>
          <w:b/>
          <w:color w:val="6E8450"/>
          <w:sz w:val="18"/>
        </w:rPr>
        <w:t>3,500 Employees · https://pmt.pennymac.com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PMT has shifted its investment strategy toward private-label securitizations, closing six securitizations totaling $2.2B in unpaid principal balance in Q2 2026, generating $120M of net new investments in non-agency subordinate bonds [1]. This pivot from agency-centric to diversified credit strategy represents meaningful evolution, though the core mortgage REIT model is unchanged. AI Deployment (1/2): Through its manager PNMAC, PMT benefits from PennyMac's 35+ AI tools spanning every phase of the mortgage lifecycle, including the proprietary Plaisse cloud-based AI servicing technology and expanded AWS partnership, generating $25M in annual AI-driven operational benefits [2]. These are internal efficiency gains, not AI products sold externally. Market Share (1/2): PennyMac's servicing portfolio approaches $700B, making it one of the largest non-bank mortgage servicers in the U.S. [2]. PMT benefits from this scale but does not independently define market leadership. Pipeline (0/2): No specific next-gen investment vehicles or products announced with timelines or revenue visibility. R&amp;D (0/1): As an externally managed REIT, PMT does not directly invest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PennyMac's values framework centers on being 'Accountable, Reliable and Ethical' (A.R.E.), which is generic and interchangeable with any financial services company [3]. No articulated vision of a better future beyond mortgage lending. Community Impact (1/2): PMT's manager focuses on five pillars — Community Development and Equitable Housing, Financial Literacy and Economic Inclusion, Human and Social Services, Health and Medical Research, and Environmental Sustainability [3]. General corporate philanthropy exists but no specific dollar amounts or distinctive programs were identified. Employee Retention (0/2): Glassdoor reviews describe executive management as having 'a very poisonous attitude which trickles down to all levels,' citing micromanagement, extreme monitoring, and a toxic work environment [2]. These red flags indicate below-average employee experience despite some positive reviews. Insider Buying (0/2): Only one insider buying transaction totaling $109K in the last 12 months — minimal conviction from leadership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PMT's Forward P/E of 6.73 is deeply discounted, well below the 20x target, reflecting market skepticism about mortgage REIT earnings sustainability [4]. The 14-year consecutive dividend payment history since IPO in 2009 scores well against the 10-year target. However, the D/E ratio of 1090% (10.9x leverage) — while typical for mortgage REITs — scores 0 against the 300% floor. ROE of 7.58% is below the 15% target at annualized 4-6% returns on equity [1]. Profit margin of 10.88% falls below the 20% target. Q2 2026 revenue of $72M declined 50.5% YoY, scoring 0 on growth [1]. The $1.60 annual dividend against $1.16 TTM EPS creates a 138% payout ratio, well above the 100% floor. The dividend was cut during COVID and has not grown consecutively, with 5-year dividend growth CAGR negative at approximately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PennyMac Mortgage Investment Trust operates as a classic finite-game entity — an externally managed REIT designed to generate quarterly distributions for shareholders through leveraged mortgage investments. The external management structure inherently creates principal-agent misalignment where the manager's incentives (management fees based on equity) may diverge from long-term unitholder value. With no independent strategic vision, toxic culture indicators, and a business model optimized for current income rather than enduring value creation, PMT scores poorly through Sinek's lens.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PennyMac's A.R.E. values and focus on equitable housing represent a purpose statement, but it reads as marketing for a financial engineering vehicle [3]. The company exists to generate levered returns on mortgage assets and distribute them to shareholders — a legitimate business but not a Just Cause in Sinek's framework. No evidence that purpose drives strategic decisions beyond regulatory compliance.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executive management as having 'a very poisonous attitude which trickles down to all levels' and cite micromanagement, extreme monitoring, and a toxic work environment [2]. While some employees praise the culture, the pattern of negative reviews suggests a low-trust environment where employees spend energy protecting themselves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PMT's competitive positioning is framed around scale advantages and cost efficiencies versus other mortgage REITs — language focused on winning market position rather than learning from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toward private-label securitizations represents meaningful portfolio evolution — six securitizations totaling $2.2B in Q2 2026 alone, generating $120M in net new non-agency investments [1]. This demonstrates willingness to adapt the investment strategy. However, this is incremental portfolio rebalancing within mortgage credit,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distributions for future capability. The external management structure incentivizes quarterly performance over long-term value creation. Recent organizational changes including new CIO Marshall Sebring and Chief Enterprise Risk Officer Shiva Iyer are defensive adaptations, not courageous long-term conviction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PMT at a Forward P/E of 6.73x and 16.6% dividend yield offers deep value for income-oriented investors willing to accept mortgage credit risk [4]. The $25.1B asset base and approaching-$700B servicing portfolio through PNMAC provide operational scale, while the pivot to private-label securitizations — six deals totaling $2.2B in Q2 2026 generating $120M in net new investments — diversifies revenue away from agency spread dependence [1]. PennyMac's $25M in annual AI savings through 35+ tools and the Plaisse servicing platform position the company ahead of slower-moving mortgage peers in operational efficiency [2]. Book value per share of $14.83 provides a floor meaningfully above the $9.65 stock price.</w:t>
      </w:r>
    </w:p>
    <w:p>
      <w:pPr>
        <w:spacing w:after="120"/>
      </w:pPr>
      <w:r>
        <w:rPr>
          <w:rFonts w:ascii="Calibri" w:hAnsi="Calibri"/>
          <w:b w:val="0"/>
          <w:color w:val="3A4A28"/>
          <w:sz w:val="20"/>
        </w:rPr>
        <w:t>The bear case centers on structural earnings deterioration and unsustainable distributions. Q2 2026 net income of $20M ($0.23 per share) represents an annualized ROE of just 6%, while Q2 revenue of $72M declined 50.5% YoY [1]. The $1.60 annual dividend exceeds $1.16 TTM EPS, creating a 138% payout ratio that is unsustainable without book value erosion. D/E of 10.9x magnifies interest rate sensitivity — rising rates compress MSR hedging margins while falling rates trigger prepayment risk. The externally managed structure charges management fees regardless of performance, creating permanent drag on unitholder returns. Stock price at $9.65 versus book value of $14.83 (0.65x P/B) reflects the market's view that book value is overstated or at risk of further writedowns. Glassdoor reviews describing toxic management culture raise operational execution concerns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private-label securitization program could generate recurring fee income and reduce dependence on volatile spread-based revenue — six deals totaling $2.2B in Q2 2026 demonstrate early traction [1]</w:t>
      </w:r>
    </w:p>
    <w:p>
      <w:pPr>
        <w:spacing w:before="40" w:after="40"/>
        <w:ind w:left="283"/>
      </w:pPr>
      <w:r>
        <w:rPr>
          <w:rFonts w:ascii="Calibri" w:hAnsi="Calibri"/>
          <w:b/>
          <w:color w:val="4A6B25"/>
          <w:sz w:val="20"/>
        </w:rPr>
        <w:t xml:space="preserve">2. </w:t>
      </w:r>
      <w:r>
        <w:rPr>
          <w:rFonts w:ascii="Calibri" w:hAnsi="Calibri"/>
          <w:b w:val="0"/>
          <w:color w:val="3A4A28"/>
          <w:sz w:val="20"/>
        </w:rPr>
        <w:t>Mortgage rate decline toward 5-6% would increase origination volumes and MSR values simultaneously, creating dual revenue tailwinds for PMT's hybrid model</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efficiencies through 35+ PennyMac tools and Plaisse platform could improve servicing margins and reduce loss rates on credit investments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138% is unsustainable on GAAP EPS — without earnings recovery, a dividend cut would likely trigger significant share price decline given the 16.6% yield-dependent investor base [1]</w:t>
      </w:r>
    </w:p>
    <w:p>
      <w:pPr>
        <w:spacing w:before="40" w:after="40"/>
        <w:ind w:left="283"/>
      </w:pPr>
      <w:r>
        <w:rPr>
          <w:rFonts w:ascii="Calibri" w:hAnsi="Calibri"/>
          <w:b/>
          <w:color w:val="4A6B25"/>
          <w:sz w:val="20"/>
        </w:rPr>
        <w:t xml:space="preserve">2. </w:t>
      </w:r>
      <w:r>
        <w:rPr>
          <w:rFonts w:ascii="Calibri" w:hAnsi="Calibri"/>
          <w:b w:val="0"/>
          <w:color w:val="3A4A28"/>
          <w:sz w:val="20"/>
        </w:rPr>
        <w:t>D/E ratio of 10.9x creates extreme leverage risk — $20.4B in debt against $1.8B equity leaves minimal margin for error in credit deterioration or rate shock scenarios [4]</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permanently misaligns incentives — management fees ensure PNMAC earns regardless of PMT's return to unitholders, while organizational restructuring (new CIO, CRO appointments) adds execution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PMT's core business — holding mortgage assets, MSRs, and CRT investments — involves financial instruments backed by physical real estate and governed by dense regulatory requirements (CFPB, Ginnie Mae, GSE guidelines) that AI cannot replace [1]. However, AI-powered fintech platforms could compress origination margins and automate servicing at lower cost, pressuring the manager's economics and the REIT's returns. The externally managed structure means PMT depends entirely on PNMAC's ability to stay competitive against AI-native mortgage platforms. Analysts view PMT's credit risk profile and rate sensitivity as primary concerns, not AI disruption specifically. AI Opportunity (1/1): PennyMac generates $25M in annual AI-driven benefits through 35+ tools, the proprietary Plaisse servicing platform, and the expanded AWS partnership [2]. CEO David Spector described AI as 'not just critical, but truly transformative' for mortgage banking.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PennyMac Mortgage Investment Trust Q1 and Q2 2026 Earnings Releases — SEC 8-K Filings and BusinessWire, May-July 2026</w:t>
      </w:r>
    </w:p>
    <w:p>
      <w:pPr>
        <w:spacing w:before="20" w:after="20"/>
        <w:ind w:left="170"/>
      </w:pPr>
      <w:r>
        <w:rPr>
          <w:rFonts w:ascii="Calibri" w:hAnsi="Calibri"/>
          <w:b/>
          <w:color w:val="4A6B25"/>
          <w:sz w:val="15"/>
        </w:rPr>
        <w:t xml:space="preserve">2. </w:t>
      </w:r>
      <w:r>
        <w:rPr>
          <w:rFonts w:ascii="Calibri" w:hAnsi="Calibri"/>
          <w:b w:val="0"/>
          <w:color w:val="3A4A28"/>
          <w:sz w:val="17"/>
        </w:rPr>
        <w:t>PennyMac AI Innovation, Leadership, and Culture — AInvest, Investing.com, HousingWire, MortgageNewsDaily,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PennyMac Corporate Sustainability and ESG — ResponsibilityReports.com, MarketScreener, Morningstar, 2024-2026</w:t>
      </w:r>
    </w:p>
    <w:p>
      <w:pPr>
        <w:spacing w:before="20" w:after="20"/>
        <w:ind w:left="170"/>
      </w:pPr>
      <w:r>
        <w:rPr>
          <w:rFonts w:ascii="Calibri" w:hAnsi="Calibri"/>
          <w:b/>
          <w:color w:val="4A6B25"/>
          <w:sz w:val="15"/>
        </w:rPr>
        <w:t xml:space="preserve">4. </w:t>
      </w:r>
      <w:r>
        <w:rPr>
          <w:rFonts w:ascii="Calibri" w:hAnsi="Calibri"/>
          <w:b w:val="0"/>
          <w:color w:val="3A4A28"/>
          <w:sz w:val="17"/>
        </w:rPr>
        <w:t>PennyMac Mortgage Investment Trust (PMT) Financial Statistics — StockAnalysis, GuruFocus, CNBC,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