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RBA</w:t>
      </w:r>
      <w:r>
        <w:rPr>
          <w:rFonts w:ascii="Calibri" w:hAnsi="Calibri"/>
          <w:b/>
          <w:color w:val="1A2010"/>
          <w:sz w:val="40"/>
        </w:rPr>
        <w:t xml:space="preserve">  RB Global, Inc.</w:t>
      </w:r>
    </w:p>
    <w:p>
      <w:pPr>
        <w:spacing w:after="120"/>
      </w:pPr>
      <w:r>
        <w:rPr>
          <w:rFonts w:ascii="Calibri" w:hAnsi="Calibri"/>
          <w:b/>
          <w:color w:val="6E8450"/>
          <w:sz w:val="18"/>
        </w:rPr>
        <w:t>GROWTH SLEEVE · 2026-07-28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Canada</w:t>
      </w:r>
    </w:p>
    <w:p>
      <w:pPr>
        <w:spacing w:after="80"/>
      </w:pPr>
      <w:r>
        <w:rPr>
          <w:rFonts w:ascii="Calibri" w:hAnsi="Calibri"/>
          <w:b w:val="0"/>
          <w:color w:val="3A4A28"/>
          <w:sz w:val="20"/>
        </w:rPr>
        <w:t>RB Global, Inc. (formerly Ritchie Bros. Auctioneers) operates the world's largest commercial asset marketplace, facilitating the buying and selling of heavy equipment, trucks, and other industrial assets through live and online auctions. Following its transformative 2023 merger with IAA (Insurance Auto Auctions), the company expanded into the insurance salvage vehicle market. RB Global also operates SmartEquip (parts procurement) and Rouse Services (data analytics). Headquartered in Burnaby, British Columbia, Canada.</w:t>
      </w:r>
    </w:p>
    <w:p>
      <w:r>
        <w:rPr>
          <w:rFonts w:ascii="Calibri" w:hAnsi="Calibri"/>
          <w:b/>
          <w:color w:val="6E8450"/>
          <w:sz w:val="18"/>
        </w:rPr>
        <w:t>8,000 Employees · https://www.rbglobal.com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$7.3B merger with IAA in March 2023 was a transformative business model expansion, combining Ritchie Bros.' industrial equipment marketplace with IAA's insurance salvage vehicle auctions to create the world's largest commercial asset marketplace [1]. The May 2026 acquisition of Big Iron Auction Company further extended into U.S. agriculture markets [3]. These represent significant strategic pivots that opened new revenue streams. AI Deployment (0/2): No evidence of AI-powered products shipping to customers or specific AI-driven cost savings reported in earnings materials or investor communications. The company operates digital marketplace technology but has not disclosed measurable AI initiatives. Market Share (2/2): RB Global is the undisputed global leader in commercial asset disposition, with Q1 2026 gross transaction value of $4.3B (up 13% YoY) across industrial equipment, commercial vehicles, and salvage vehicles [1]. No competitor operates at comparable scale across these verticals. Product Pipeline (1/2): The Big Iron acquisition expands the addressable market into agriculture equipment, and the company raised FY2026 GTV growth guidance to 6-9%, but no specific next-generation technology products with defined launch timelines have been announced [3]. R&amp;D Intensity (0/1): RB Global does not report R&amp;D spending as a discrete line item; technology investment is embedded in operating expenses with no evidence of above-industry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RB Global's stated purpose — 'connecting the world through trusted marketplaces, driving the transition to a circular economy, fostering an inclusive culture, and building resilient communities' — is specific and thoughtful, directly connecting the company's auction business to the broader environmental purpose of extending asset lifecycles and reducing waste [4]. The circular economy framing differentiates from peers and reflects genuine intentionality. Community Impact (1/2): RB Global's 2023 ESG Report outlines community building and resilient communities as a pillar, and the company has been certified as a Great Place To Work, but no specific charitable programs with dollar amounts or distinctive community initiatives were identified in public materials [4][5]. Employee Retention (1/2): Glassdoor reviews describe a culture of 'caring, friendly, and helpful coworkers and management' with opportunities for advancement, though some employees note culture changes following leadership transitions and the IAA integration [2]. Mixed signals without quantified retention data. Insider Buying (0/2): No evidence of meaningful net insider buying by CEO Jim Kessler or other executives in the last 12 months was found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$1.235B (up 11% YoY) exceeded the $1.15B consensus estimate, with net income of $135.6M (up 20%) and diluted EPS of $0.66 [1]. Full-year guidance raised to GTV growth of 6-9% and adjusted EBIT of $1.49-1.55B [3]. D/E of 73% is marginally above the 70% target, reflecting residual leverage from the $7.3B IAA acquisition. ROE of 7.26% is below the 15% target, depressed by the substantial goodwill and intangible assets from the IAA merger inflating the equity base. Profit margin of 9.33% reflects the asset-light marketplace model's lower margins relative to technology peers. Forward P/E of 23.0 and PEG of 1.01 indicate reasonable valuation given double-digit earnings growth. The 5-year revenue CAGR of ~27% is heavily acquisition-driven (IAA merger in 2023) but demonstrates successful transformation of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RB Global demonstrates elements of infinite thinking through its circular economy mission and willingness to make transformative strategic bets (IAA merger), but leadership instability and the relatively recent articulation of its broader purpose leave questions about long-term commitment. The company is in transition from a traditional auctioneer to a multi-platform marketplace operator, and it remains to be seen whether the Just Cause will endure through the integration challenges.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RB Global's circular economy mission — extending asset lifecycles through trusted marketplace transactions — is genuine and distinctive, connecting the company's commercial operations to an environmental purpose that resonates beyond profit [4]. However, this framing is relatively recent (post-IAA merger rebranding), and the company hasn't had multiple decades or leadership transitions to validate it. The Just Cause has not yet been tested through crisis or market adversity under the current RB Global identity.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RB Global was certified as a Great Place To Work, and employees on Glassdoor describe caring coworkers and management with lateral and upward mobility opportunities [2][5]. However, the company has undergone significant leadership restructuring — CEO Jim Kessler took over in August 2023, and a major leadership overhaul was announced in September 2025 to drive marketplace growth. These frequent structural changes create organizational uncertainty during an already complex post-merger integration with IAA.</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RB Global's leadership acknowledging competitors' strengths or framing competition as motivation for self-improvement. As the dominant player in commercial asset auctions, the company's public communications focus on market leadership rather than learning from competitors, and the competitive language centers on scale and network advantages rather than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$7.3B IAA acquisition in 2023 fundamentally transformed RB Global from a pure industrial equipment auctioneer into a diversified commercial asset marketplace spanning equipment, vehicles, and insurance salvage [1]. This was a significant evolution — the addressable market expanded dramatically — though the core auction/marketplace business model remained intact. The Big Iron acquisition in May 2026 further extended into agriculture, showing continued strategic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$7.3B IAA merger was a bold capital allocation decision that nearly tripled the company's revenue base and required significant integration risk [1]. CEO Jim Kessler has restructured leadership to focus on strategic growth and raised FY2026 guidance after strong Q1 results [3]. However, no examples of sacrificing short-term earnings for long-term capability or walking away from profitable but misaligned businesses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RB Global delivered a strong Q1 2026 with revenue of $1.235B (up 11% YoY), net income of $135.6M (up 20%), and gross transaction value of $4.3B (up 13%), prompting management to raise full-year GTV growth guidance to 6-9% and adjusted EBIT guidance to $1.49-1.55B [1][3]. The company's dominant market position as the world's largest commercial asset marketplace, bolstered by the transformative 2023 IAA merger, creates significant competitive moats through network effects, proprietary valuation data, and trust-based buyer-seller relationships. The commercial construction and transportation segment showed particular strength with GTV up 27% in Q1 [1]. Analyst consensus is Strong Buy with an average price target of ~$125, implying ~25% upside.</w:t>
      </w:r>
    </w:p>
    <w:p>
      <w:pPr>
        <w:spacing w:after="120"/>
      </w:pPr>
      <w:r>
        <w:rPr>
          <w:rFonts w:ascii="Calibri" w:hAnsi="Calibri"/>
          <w:b w:val="0"/>
          <w:color w:val="3A4A28"/>
          <w:sz w:val="20"/>
        </w:rPr>
        <w:t>The primary concern is valuation compression risk — at a trailing P/E of ~49x and forward P/E of 23x, the stock prices in significant earnings growth that could be disrupted by used equipment market cyclicality or post-merger integration challenges. ROE of 7.26% is weak, depressed by the $5B+ in goodwill and intangibles from the IAA acquisition, and it remains unclear when returns on invested capital will normalize [1]. Profit margin of 9.33% is modest for a marketplace/platform business and suggests the company has not yet fully realized operating leverage from the IAA integration. Additionally, the company's reliance on cyclical end-markets (construction, transportation, agriculture) exposes it to macroeconomic downturns that could compress transaction volumes and margins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realization of IAA merger synergies driving margin expansion as integration completes and duplicate costs are eliminated, with forward EPS implying significant earnings growth over trailing figures</w:t>
      </w:r>
    </w:p>
    <w:p>
      <w:pPr>
        <w:spacing w:before="40" w:after="40"/>
        <w:ind w:left="283"/>
      </w:pPr>
      <w:r>
        <w:rPr>
          <w:rFonts w:ascii="Calibri" w:hAnsi="Calibri"/>
          <w:b/>
          <w:color w:val="4A6B25"/>
          <w:sz w:val="20"/>
        </w:rPr>
        <w:t xml:space="preserve">2. </w:t>
      </w:r>
      <w:r>
        <w:rPr>
          <w:rFonts w:ascii="Calibri" w:hAnsi="Calibri"/>
          <w:b w:val="0"/>
          <w:color w:val="3A4A28"/>
          <w:sz w:val="20"/>
        </w:rPr>
        <w:t>Big Iron Auction Company acquisition (May 2026) opening the U.S. agriculture equipment market, diversifying revenue beyond construction and transportation [3]</w:t>
      </w:r>
    </w:p>
    <w:p>
      <w:pPr>
        <w:spacing w:before="40" w:after="40"/>
        <w:ind w:left="283"/>
      </w:pPr>
      <w:r>
        <w:rPr>
          <w:rFonts w:ascii="Calibri" w:hAnsi="Calibri"/>
          <w:b/>
          <w:color w:val="4A6B25"/>
          <w:sz w:val="20"/>
        </w:rPr>
        <w:t xml:space="preserve">3. </w:t>
      </w:r>
      <w:r>
        <w:rPr>
          <w:rFonts w:ascii="Calibri" w:hAnsi="Calibri"/>
          <w:b w:val="0"/>
          <w:color w:val="3A4A28"/>
          <w:sz w:val="20"/>
        </w:rPr>
        <w:t>Commercial construction and transportation GTV accelerating at 27% YoY in Q1 2026, potentially driving full-year results above the raised 6-9% GTV growth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Used equipment market cyclicality — a construction or transportation downturn could compress GTV and transaction-based revenues, with the company's higher post-merger fixed cost base amplifying margin pressure</w:t>
      </w:r>
    </w:p>
    <w:p>
      <w:pPr>
        <w:spacing w:before="40" w:after="40"/>
        <w:ind w:left="283"/>
      </w:pPr>
      <w:r>
        <w:rPr>
          <w:rFonts w:ascii="Calibri" w:hAnsi="Calibri"/>
          <w:b/>
          <w:color w:val="4A6B25"/>
          <w:sz w:val="20"/>
        </w:rPr>
        <w:t xml:space="preserve">2. </w:t>
      </w:r>
      <w:r>
        <w:rPr>
          <w:rFonts w:ascii="Calibri" w:hAnsi="Calibri"/>
          <w:b w:val="0"/>
          <w:color w:val="3A4A28"/>
          <w:sz w:val="20"/>
        </w:rPr>
        <w:t>ROE of 7.26% reflects $5B+ in acquisition-related goodwill that may face impairment risk if the IAA integration underdelivers on expected synergies and growth targets</w:t>
      </w:r>
    </w:p>
    <w:p>
      <w:pPr>
        <w:spacing w:before="40" w:after="40"/>
        <w:ind w:left="283"/>
      </w:pPr>
      <w:r>
        <w:rPr>
          <w:rFonts w:ascii="Calibri" w:hAnsi="Calibri"/>
          <w:b/>
          <w:color w:val="4A6B25"/>
          <w:sz w:val="20"/>
        </w:rPr>
        <w:t xml:space="preserve">3. </w:t>
      </w:r>
      <w:r>
        <w:rPr>
          <w:rFonts w:ascii="Calibri" w:hAnsi="Calibri"/>
          <w:b w:val="0"/>
          <w:color w:val="3A4A28"/>
          <w:sz w:val="20"/>
        </w:rPr>
        <w:t>Trailing P/E of 49x leaves minimal margin of safety — any miss against the raised FY2026 guidance could trigger significant multiple compression given the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RB Global's core business involves physical-world asset transactions — heavy equipment inspections, vehicle transport logistics, title transfers, and trust-based marketplace interactions that AI structurally cannot substitute [1]. The auction process requires physical presence of assets, complex condition assessments, regulatory compliance across jurisdictions, and buyer-seller trust that depends on decades of marketplace reputation. The insurance salvage business (IAA) involves physical vehicle towing, storage, and regulated title processing. These operations have deep physical and regulatory moats. However, AI could potentially disrupt the company's data analytics and valuation services (Rouse) and enhance competitor marketplace platforms, representing a modest risk to ancillary revenue streams. AI Opportunity (0/1): No quantifiable AI-related revenue has been reported. While RB Global operates sophisticated digital marketplace technology, no AI-specific products, features, or revenue streams have been disclosed in earnings materials.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RB Global Q1 2026 Earnings Release — Equipment World, May 2026</w:t>
      </w:r>
    </w:p>
    <w:p>
      <w:pPr>
        <w:spacing w:before="20" w:after="20"/>
        <w:ind w:left="170"/>
      </w:pPr>
      <w:r>
        <w:rPr>
          <w:rFonts w:ascii="Calibri" w:hAnsi="Calibri"/>
          <w:b/>
          <w:color w:val="4A6B25"/>
          <w:sz w:val="15"/>
        </w:rPr>
        <w:t xml:space="preserve">2. </w:t>
      </w:r>
      <w:r>
        <w:rPr>
          <w:rFonts w:ascii="Calibri" w:hAnsi="Calibri"/>
          <w:b w:val="0"/>
          <w:color w:val="3A4A28"/>
          <w:sz w:val="17"/>
        </w:rPr>
        <w:t>RB Global Leadership and Culture Reviews — Glassdoor, Great Place To Work,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RB Global Raises 2026 Outlook After Strong Q1 Results — The Globe and Mail, May 2026</w:t>
      </w:r>
    </w:p>
    <w:p>
      <w:pPr>
        <w:spacing w:before="20" w:after="20"/>
        <w:ind w:left="170"/>
      </w:pPr>
      <w:r>
        <w:rPr>
          <w:rFonts w:ascii="Calibri" w:hAnsi="Calibri"/>
          <w:b/>
          <w:color w:val="4A6B25"/>
          <w:sz w:val="15"/>
        </w:rPr>
        <w:t xml:space="preserve">4. </w:t>
      </w:r>
      <w:r>
        <w:rPr>
          <w:rFonts w:ascii="Calibri" w:hAnsi="Calibri"/>
          <w:b w:val="0"/>
          <w:color w:val="3A4A28"/>
          <w:sz w:val="17"/>
        </w:rPr>
        <w:t>RB Global ESG Report 2023 and Company Website — rbglobal.com,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Great Place To Work — RB Global, Inc. Certification,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