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RR</w:t>
      </w:r>
      <w:r>
        <w:rPr>
          <w:rFonts w:ascii="Calibri" w:hAnsi="Calibri"/>
          <w:b/>
          <w:color w:val="1A2010"/>
          <w:sz w:val="40"/>
        </w:rPr>
        <w:t xml:space="preserve">  Rolls-Royce Holdings plc</w:t>
      </w:r>
    </w:p>
    <w:p>
      <w:pPr>
        <w:spacing w:after="120"/>
      </w:pPr>
      <w:r>
        <w:rPr>
          <w:rFonts w:ascii="Calibri" w:hAnsi="Calibri"/>
          <w:b/>
          <w:color w:val="6E8450"/>
          <w:sz w:val="18"/>
        </w:rPr>
        <w:t>GROWTH SLEEVE · 2026-08-11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LSE · United Kingdom</w:t>
      </w:r>
    </w:p>
    <w:p>
      <w:pPr>
        <w:spacing w:after="80"/>
      </w:pPr>
      <w:r>
        <w:rPr>
          <w:rFonts w:ascii="Calibri" w:hAnsi="Calibri"/>
          <w:b w:val="0"/>
          <w:color w:val="3A4A28"/>
          <w:sz w:val="20"/>
        </w:rPr>
        <w:t>Rolls-Royce Holdings designs, manufactures, and services power systems for aviation, defense, and energy markets. The company operates through three divisions: Civil Aerospace (wide-body jet engines including Trent family and UltraFan development), Defence (military engines, submarines, naval propulsion), and Power Systems (diesel and gas engines, microgrids, and power generation). Under CEO Tufan Erginbilgic's turnaround since January 2023, Rolls-Royce delivered H1 2026 revenue of GBP 11.3B (+26% YoY) with operating margin expanding to 22.5% and raised full-year guidance to GBP 4.7-4.9B operating profit. The company is also developing Small Modular Reactors (SMRs) for nuclear energy through its Rolls-Royce SMR subsidiary.</w:t>
      </w:r>
    </w:p>
    <w:p>
      <w:r>
        <w:rPr>
          <w:rFonts w:ascii="Calibri" w:hAnsi="Calibri"/>
          <w:b/>
          <w:color w:val="6E8450"/>
          <w:sz w:val="18"/>
        </w:rPr>
        <w:t>42,000 Employees · https://www.rolls-royce.com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CEO Tufan Erginbilgic's transformation since January 2023 constitutes one of the most dramatic industrial turnarounds in recent memory — operating margins expanded from ~5% to 22.5%, operating profit surged 46% YoY in H1 2026 to GBP 2.5B, and the company introduced 17 key performance targets that redefined operational discipline across all divisions [1]. The creation of Rolls-Royce SMR as a standalone nuclear energy subsidiary represents a genuine new business category. AI Deployment (0/2): No evidence of AI-powered products shipping to customers or quantified internal AI-driven savings. The board includes members with digital technology backgrounds, and the company has an Innovation Portal for employees, but no measurable AI deployment was identified [2]. Market Share (2/2): Rolls-Royce is one of only three global manufacturers of wide-body aircraft engines (alongside GE Aerospace and Pratt &amp; Whitney), holding dominant share in specific engine families such as the Trent series powering Airbus A350 and Boeing 787 aircraft [1]. The company also holds leading positions in submarine nuclear propulsion for the UK Royal Navy. Product Pipeline (1/2): The UltraFan engine program represents next-generation technology with improved fuel efficiency, and the SMR program targets first power generation by the early 2030s, but specific near-term launch dates with revenue visibility remain limited beyond current Trent variants [1]. R&amp;D Intensity (1/1): R&amp;D spending exceeds GBP 1.3B annually, representing approximately 7% of revenue — well above the aerospace &amp; defense industry average and reflecting investment in next-gen engine technology and nuclear power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Rolls-Royce's purpose — 'Pioneering the power that matters' — is specific, thoughtful, and connects engineering excellence to a larger societal contribution. It clearly differentiates from generic industrial mission statements and reflects genuine intentionality about the role of power systems in aviation safety, defense, and energy transition [2]. However, the company's near-bankruptcy in 2020 and subsequent radical restructuring under new leadership suggest the purpose was not consistently guiding strategic decisions across leadership eras. Community Impact (1/2): Rolls-Royce operates STEM education programs, apprenticeship schemes across the UK, and community investment in manufacturing regions. These are meaningful but standard corporate citizenship programs without distinctive scale or impact that sets them apart from aerospace peers [3]. Employee Retention (0/2): The turnaround under Erginbilgic involved significant workforce restructuring and headcount reductions as part of operational efficiency improvements. While 500-employee innovation workshops signal engagement, no specific retention, tenure, or turnover data was identified to demonstrate above-average employee loyalty [2]. Insider Buying (0/2): No evidence of meaningful net insider buying by executives was identified in recent periods.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Rolls-Royce demonstrates exceptional profitability improvement with ROE of 114.49% (TTM) and revenue growth of 26% YoY in H1 2026, both well exceeding targets [1][4]. Operating margin expanded to 22.5% with estimated net profit margin of approximately 15%, approaching the 20% target. D/E of 158% is elevated, reflecting legacy leverage from the COVID-era crisis, scoring 0.617 between floor and target. The primary valuation drag is Forward P/E of 37.97x and PEG of 2.53, reflecting premium pricing for the turnaround story — Forward P/E scores 0.551 and PEG scores 0.235, both below mid-range [4]. Free cash flow of GBP 2.0B in H1 2026 (+24% YoY) demonstrates strengthening cash generation that supports deleveraging. Liquidity floor easily cleared with estimated daily trading volume exceeding GBP 200M on LSE.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Rolls-Royce demonstrates mixed infinite game characteristics. The company has a genuine purpose connecting engineering to societal benefit, and the recent turnaround under Erginbilgic shows courage in making painful restructuring decisions. However, the company's near-collapse in 2020 — requiring a GBP 5B capital raise — reveals that prior leadership was playing a finite game, optimizing for short-term margins while underinvesting in operational resilience. The current transformation is impressive but only three years old, insufficient to demonstrate the multi-decade consistency Sinek requires for the highest scores. The SMR nuclear energy venture shows existential flexibility, but it remains pre-revenue.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'Pioneering the power that matters' is a genuine cause that connects Rolls-Royce's engineering to aviation safety, national defense, and energy transition — purposes beyond quarterly profit [2]. The SMR nuclear program demonstrates willingness to invest billions in clean energy that may not generate returns for a decade. However, the cause was not strong enough to prevent the 2016-2020 decline under prior leadership, when the company's operational discipline eroded to the point of near-bankruptcy. A true Just Cause should survive leadership transitions, and this one arguably did not until Erginbilgic imposed it from the outside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Erginbilgic's turnaround included Innovation Portal workshops for 500 employees, allowing teams to contribute solutions directly to leadership — a positive signal for empowerment [2]. The executive team includes long-tenured engineers who understand the business deeply. However, the turnaround also involved significant headcount reductions and restructuring that inherently creates uncertainty and reduces psychological safety. The culture shift from a bureaucratic engineering organization to a performance-driven company is still in progress, and the speed of transformation may have strained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Rolls-Royce operates in a three-player oligopoly with GE Aerospace and Pratt &amp; Whitney, and consistently frames competition as motivation to build better engines rather than destroy rivals. The UltraFan development program was explicitly designed to leapfrog GE's fuel efficiency advantages, demonstrating competitive self-awareness oriented toward improvement [1]. Management commentary focuses on engine performance metrics (time-on-wing, fuel efficiency)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creation of Rolls-Royce SMR to develop Small Modular Reactors represents entry into an entirely new market (nuclear energy) that leverages existing nuclear engineering capabilities from the Defence division but targets a fundamentally different customer base (utilities, industrial power) [1]. The Power Systems division's expansion into microgrids and sustainable power solutions shows adaptability. However, these moves are incremental extensions of existing capabilities rather than the transformative self-disruption Sinek describes — Rolls-Royce has not abandoned a profitable core business to pursue something radically new.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Erginbilgic's turnaround required courage — he publicly described the company as a 'burning platform' upon arrival and made painful decisions including workforce restructuring, setting demanding performance targets, and fundamentally changing the operating culture [2]. Raising full-year 2026 guidance to GBP 4.7-4.9B operating profit while investing in SMR nuclear power demonstrates willingness to balance near-term performance with long-term bets. However, the courage was imposed by external crisis (near-bankruptcy) rather than proactive long-term vision — the company did not choose transformation, it was forced into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Rolls-Royce at 37.97x forward earnings is a turnaround story delivering accelerating results — H1 2026 revenue of GBP 11.3B (+26% YoY) with operating profit of GBP 2.5B (+46%) and margin expansion to 22.5% demonstrate that Erginbilgic's operational transformation is generating sustainable improvements, not one-time gains [1]. Management raised full-year 2026 guidance to GBP 4.7-4.9B operating profit and GBP 3.8-4.0B free cash flow, signaling confidence in the trajectory. ROE of 114.49% reflects exceptional capital efficiency. Civil Aerospace benefits from a growing wide-body engine installed base with TotalCare service agreements providing 25+ years of recurring revenue per engine. Defence and Power Systems both showed strong order intake, and the AI data center power opportunity could drive incremental demand in Power Systems. The SMR nuclear venture positions Rolls-Royce at the frontier of clean energy infrastructure.</w:t>
      </w:r>
    </w:p>
    <w:p>
      <w:pPr>
        <w:spacing w:after="120"/>
      </w:pPr>
      <w:r>
        <w:rPr>
          <w:rFonts w:ascii="Calibri" w:hAnsi="Calibri"/>
          <w:b w:val="0"/>
          <w:color w:val="3A4A28"/>
          <w:sz w:val="20"/>
        </w:rPr>
        <w:t>The bear case centers on valuation, leverage, and execution risk. Forward P/E of 37.97x and PEG of 2.53 price in years of continued margin expansion that may be difficult to sustain once the low-hanging restructuring gains are captured [4]. D/E of 158% remains elevated despite rapid deleveraging, and rising interest rates increase the carrying cost of legacy debt. The turnaround is only three years old under Erginbilgic — sustainability through an economic downturn or aviation shock (as in 2020) is unproven. Civil Aerospace revenue is highly correlated with global air travel demand, which remains cyclical despite structural growth trends. The SMR nuclear program requires billions in development capital with uncertain regulatory timelines and no revenue expected before the early 2030s. The Inspire Impact Score of 0 (MIXED) reflects minimal ESG data coverage, and the company faces moderate ESG controversy related to governance practices and historical issues including the 2021 Bergen Engines sale controversy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full-year 2026 guidance to GBP 4.7-4.9B operating profit and GBP 3.8-4.0B FCF, with continued margin expansion across all three divisions driven by operational efficiency improvements and strong aftermarket demand in Civil Aerospace [1]</w:t>
      </w:r>
    </w:p>
    <w:p>
      <w:pPr>
        <w:spacing w:before="40" w:after="40"/>
        <w:ind w:left="283"/>
      </w:pPr>
      <w:r>
        <w:rPr>
          <w:rFonts w:ascii="Calibri" w:hAnsi="Calibri"/>
          <w:b/>
          <w:color w:val="4A6B25"/>
          <w:sz w:val="20"/>
        </w:rPr>
        <w:t xml:space="preserve">2. </w:t>
      </w:r>
      <w:r>
        <w:rPr>
          <w:rFonts w:ascii="Calibri" w:hAnsi="Calibri"/>
          <w:b w:val="0"/>
          <w:color w:val="3A4A28"/>
          <w:sz w:val="20"/>
        </w:rPr>
        <w:t>AI data center buildout driving incremental power generation demand for Power Systems division, positioning Rolls-Royce microgrids and gas engines as critical infrastructure for the electricity-hungry AI economy [1]</w:t>
      </w:r>
    </w:p>
    <w:p>
      <w:pPr>
        <w:spacing w:before="40" w:after="40"/>
        <w:ind w:left="283"/>
      </w:pPr>
      <w:r>
        <w:rPr>
          <w:rFonts w:ascii="Calibri" w:hAnsi="Calibri"/>
          <w:b/>
          <w:color w:val="4A6B25"/>
          <w:sz w:val="20"/>
        </w:rPr>
        <w:t xml:space="preserve">3. </w:t>
      </w:r>
      <w:r>
        <w:rPr>
          <w:rFonts w:ascii="Calibri" w:hAnsi="Calibri"/>
          <w:b w:val="0"/>
          <w:color w:val="3A4A28"/>
          <w:sz w:val="20"/>
        </w:rPr>
        <w:t>SMR nuclear program advancing toward UK regulatory approval, with potential to create an entirely new multi-billion revenue stream in clean baseload power generation by the early 2030s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(37.97x forward P/E, 2.53 PEG) leaves minimal margin of safety — any deceleration in margin expansion or order intake from the current 26% revenue growth trajectory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Civil Aerospace revenue remains cyclically exposed to global air travel demand, and a recession-driven reduction in flying hours would directly reduce TotalCare service revenue, replicating the 2020 crisis that nearly bankrupted the company [1]</w:t>
      </w:r>
    </w:p>
    <w:p>
      <w:pPr>
        <w:spacing w:before="40" w:after="40"/>
        <w:ind w:left="283"/>
      </w:pPr>
      <w:r>
        <w:rPr>
          <w:rFonts w:ascii="Calibri" w:hAnsi="Calibri"/>
          <w:b/>
          <w:color w:val="4A6B25"/>
          <w:sz w:val="20"/>
        </w:rPr>
        <w:t xml:space="preserve">3. </w:t>
      </w:r>
      <w:r>
        <w:rPr>
          <w:rFonts w:ascii="Calibri" w:hAnsi="Calibri"/>
          <w:b w:val="0"/>
          <w:color w:val="3A4A28"/>
          <w:sz w:val="20"/>
        </w:rPr>
        <w:t>D/E of 158% and the capital-intensive SMR nuclear development program (~GBP 2-3B+ total investment) compete for cash flow allocation against deleveraging and potential shareholder returns, creating execution risk if multiple priorities slow progress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Rolls-Royce's core business — designing, manufacturing, and servicing jet engines, naval propulsion systems, and power generation equipment — involves physical-world operations that AI structurally cannot displace [1]. Wide-body engine manufacturing requires decades of metallurgical expertise, precision engineering, and regulatory certification (FAA/EASA) that creates insurmountable barriers to AI substitution. The TotalCare long-term service agreements create 25+ year contractual relationships tied to physical assets. Defence nuclear submarine propulsion is deeply classified and regulated. AI may increase demand for Rolls-Royce power systems as AI data centers require more electricity generation capacity, potentially benefiting the Power Systems division [1]. The only risk vector is AI-enhanced competitor engine design accelerating rival programs, but this is a competitive acceleration rather than substitution risk. AI Opportunity (1/1): Rolls-Royce generates AI-adjacent revenue through its IntelligentEngine program, which uses predictive analytics and machine learning across its fleet of 4,000+ engines under TotalCare contracts to optimize maintenance scheduling and engine health monitoring, directly reducing airline costs and improving engine time-on-wing — a quantifiable value driver embedded in service contract 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Rolls-Royce Holdings H1 2026 Results — Revenue GBP 11.3B (+26%), Operating Profit GBP 2.5B (+46%), FCF GBP 2.0B (+24%), FY2026 Guidance Raised, July 2026</w:t>
      </w:r>
    </w:p>
    <w:p>
      <w:pPr>
        <w:spacing w:before="20" w:after="20"/>
        <w:ind w:left="170"/>
      </w:pPr>
      <w:r>
        <w:rPr>
          <w:rFonts w:ascii="Calibri" w:hAnsi="Calibri"/>
          <w:b/>
          <w:color w:val="4A6B25"/>
          <w:sz w:val="15"/>
        </w:rPr>
        <w:t xml:space="preserve">2. </w:t>
      </w:r>
      <w:r>
        <w:rPr>
          <w:rFonts w:ascii="Calibri" w:hAnsi="Calibri"/>
          <w:b w:val="0"/>
          <w:color w:val="3A4A28"/>
          <w:sz w:val="17"/>
        </w:rPr>
        <w:t>Rolls-Royce CEO Tufan Erginbilgic Leadership and Turnaround — Management Restructure, Innovation Portal, 17 KPI Targets — HR Grapevine, Simply Wall St, 2023-2026</w:t>
      </w:r>
    </w:p>
    <w:p>
      <w:pPr>
        <w:spacing w:before="20" w:after="20"/>
        <w:ind w:left="170"/>
      </w:pPr>
      <w:r>
        <w:rPr>
          <w:rFonts w:ascii="Calibri" w:hAnsi="Calibri"/>
          <w:b/>
          <w:color w:val="4A6B25"/>
          <w:sz w:val="15"/>
        </w:rPr>
        <w:t xml:space="preserve">3. </w:t>
      </w:r>
      <w:r>
        <w:rPr>
          <w:rFonts w:ascii="Calibri" w:hAnsi="Calibri"/>
          <w:b w:val="0"/>
          <w:color w:val="3A4A28"/>
          <w:sz w:val="17"/>
        </w:rPr>
        <w:t>Rolls-Royce Holdings ESG Profile — Moderate Controversy Level, Governance Concerns, Bergen Engines Sale Blocked — Yahoo Finance, S&amp;P Global, 1792 Exchange, 2021-2026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RR.L Key Statistics: Forward P/E 37.97x, PEG 2.53, D/E 158%, ROE 114.49%, Stock Price GBP 14.68,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