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RVTY</w:t>
      </w:r>
      <w:r>
        <w:rPr>
          <w:rFonts w:ascii="Calibri" w:hAnsi="Calibri"/>
          <w:b/>
          <w:color w:val="1A2010"/>
          <w:sz w:val="40"/>
        </w:rPr>
        <w:t xml:space="preserve">  Revvity, Inc.</w:t>
      </w:r>
    </w:p>
    <w:p>
      <w:pPr>
        <w:spacing w:after="120"/>
      </w:pPr>
      <w:r>
        <w:rPr>
          <w:rFonts w:ascii="Calibri" w:hAnsi="Calibri"/>
          <w:b/>
          <w:color w:val="6E8450"/>
          <w:sz w:val="18"/>
        </w:rPr>
        <w:t>GROWTH SLEEVE · 2026-08-03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Revvity, Inc. (formerly PerkinElmer) provides life science solutions and diagnostics globally. Operates through Life Sciences (genomics, proteomics, drug discovery tools, Signals software) and Diagnostics (reproductive health screening, immunodiagnostics, applied genomics) segments. Rebranded in 2023 after divesting non-core applied, food, and enterprise services businesses to focus on health sciences innovation from discovery to cure.</w:t>
      </w:r>
    </w:p>
    <w:p>
      <w:r>
        <w:rPr>
          <w:rFonts w:ascii="Calibri" w:hAnsi="Calibri"/>
          <w:b/>
          <w:color w:val="6E8450"/>
          <w:sz w:val="18"/>
        </w:rPr>
        <w:t>11,000 Employees · https://www.revvity.com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Revvity executed a transformative pivot in 2023 — divesting PerkinElmer's legacy applied, food, and enterprise services businesses (food testing sold to NETZSCH for ~$2.3B) to refocus entirely on life sciences and diagnostics [1][2]. The company has since launched the Signals software ecosystem and three AI-driven platforms targeting drug discovery workflows. AI Deployment (1/2): Launched Xynthetica (AI-models-as-a-service platform), BioDesign (cloud-native molecular design for biologics — described as the 'only cloud-based offering of its type'), and LabGistics (AI-first drug discovery workflow planned for late 2026) [2][3]. CEO Prahlad Singh stated 'AI is dramatically accelerating scientific discovery, enabling researchers to identify and design exponentially more therapeutic compounds' [3]. No quantified AI-specific revenue yet. Market Share (1/2): Global leader in neonatal screening and meaningful player in life sciences software, but trails Thermo Fisher, Danaher, and Agilent in overall life sciences instrumentation market share [2]. Product Pipeline (1/2): Three named AI platform launches in 2026 with specific timelines, plus continued Signals ecosystem expansion and ACD Labs integration contributing ~75bps inorganic growth [2][3]. R&amp;D Intensity (1/1): Above-industry-average R&amp;D investment as a focused health sciences company, driving AI platform development and next-generation diagnostics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Revvity's mission to 'expand the boundaries of human potential through science' is specific, thoughtful, and connects work to a larger purpose — validated by the bold divestiture of profitable but non-core businesses to concentrate on health sciences [4]. However, the mission is only three years old in its current form and hasn't been tested through major crises or leadership transitions. Community Impact (1/2): UN Global Compact signatory, committed to 50% Scope 1/2 GHG reduction by 2033 with SBTi-aligned targets, published 2024 Impact Report with first material Scope 3 disclosures [5]. General corporate sustainability commitment without standout charitable programs. Employee Retention (0/2): No specific employee tenure, voluntary turnover, or retention data found. CEO Singh emphasizes a culture framework (one team, embrace the unknown, catalyst for change, make a difference) but no quantified outcomes. Insider Buying (0/2): Net insider selling of approximately $335K in the past 12 months — no meaningful net insider buying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47% is well below the 70% target, with net debt-to-EBITDA of 2.8x and 100% fixed-rate debt at 2.6% weighted average interest rate [3]. ROE of 3.23% is weak — depressed by GAAP charges from the PerkinElmer transformation and $7.5B of goodwill, though adjusted operating margins are expanding to 28.4% pro forma for FY2026 [3]. Q1 2026 revenue of $711M grew 7% YoY (6% pro forma organic), driven by low double-digit pharma/biotech recovery, the strongest since H1 2023 [1][3]. Forward P/E of 20.54 is near the 20 target. GAAP profit margin of 8.26% is below the 20% target due to acquired intangible amortization. Forward PEG of 2.12 reflects moderate growth expectations. Free cash flow conversion of 97% ($115M in Q1) demonstrates strong cash generation despite GAAP headwinds [3]. Liquidity: 1.33M avg volume x $115.46 = $154M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Revvity under Prahlad Singh demonstrates genuine infinite game thinking through the bold PerkinElmer-to-Revvity transformation — divesting profitable but misaligned businesses to focus exclusively on health sciences. The willingness to abandon the 85-year-old PerkinElmer brand and sacrifice billions in revenue to align with a clearer purpose reflects deeply infinite thinking, though the transformation is still early enough that long-term validation is pending.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'Expand the boundaries of human potential through science' is a genuine, distinctive purpose that connects Revvity's work to enabling health breakthroughs — validated by the strategic decision to shed profitable non-health businesses and concentrate resources on diagnostics and life sciences [4]. The ongoing China immunodiagnostics divestiture (6% of 2025 revenue) further demonstrates capital allocation discipline in service of the cause [3]. However, the cause is only three years old in its current form, has survived no major crisis or leadership transition, and hasn't proven itself across multiple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Prahlad Singh has led since 2019 and shepherded the company through the PerkinElmer-to-Revvity transformation, providing leadership continuity through massive organizational change [2]. Stable leadership team maintained through multiple divestitures without reports of mass turnover or cultural dysfunction. Singh's four-pronged culture framework emphasizes embracing the unknown and being a catalyst for change. No evidence of exceptional employee trust or above-average retention metrics.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Revvity competes against Danaher, Thermo Fisher Scientific, and Roche Diagnostics — significantly larger rivals whose scale and capabilities push Revvity to innovate in AI-driven diagnostics and genetic screening [2]. Management's competitive language focuses on differentiation through purpose and technology (AI platforms, neonatal screening leadership) rather than market share warfare or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Revvity executed a transformative reinvention — divesting the legacy PerkinElmer food testing, industrial, and enterprise businesses, rebranding entirely, and repositioning as a focused health sciences company [1][2]. This is a textbook existential flexibility pivot: abandoning a working business model and an 85-year-old brand name in service of a clearer cause. The ongoing China divestiture extends this pattern. Comparable in ambition to the pivots Sinek celebrates — the transformation was driven by purpose, not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PerkinElmer's food testing business for ~$2.3B, complete corporate rebrand, and ongoing divestiture of China immunodiagnostics (despite ~$0.15 EPS headwind in 2026) demonstrate willingness to sacrifice near-term earnings and brand equity for long-term mission alignment [1][3]. This required abandoning the 85-year-old PerkinElmer brand and accepting significant near-term disruption. However, no pattern of counter-cyclical investment or principled stances at significant financial cost beyond the transformation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Revvity's Q1 2026 showed accelerating momentum — $711M revenue (7% growth), 6% pro forma organic growth driven by low double-digit pharma/biotech recovery (strongest since H1 2023), and adjusted EPS of $1.06 beating the $1.02 consensus by 3.9% [1][3]. Pro forma adjusted operating margins of 24% in Q1 are expanding toward the 28.4% FY2026 target, and free cash flow conversion of 97% ($115M) demonstrates strong cash generation despite GAAP headwinds [3]. The balance sheet is clean (D/E 47%, 2.8x net debt/EBITDA, 100% fixed-rate debt) and the company repurchased $86M in shares in Q1 [3]. The Signals software ecosystem expansion with AI platforms (Xynthetica, BioDesign, LabGistics) positions Revvity at the intersection of life sciences and AI-driven discovery. Inspire score of +57 with zero negative attributions supports the faith-aligned thesis [5].</w:t>
      </w:r>
    </w:p>
    <w:p>
      <w:pPr>
        <w:spacing w:after="120"/>
      </w:pPr>
      <w:r>
        <w:rPr>
          <w:rFonts w:ascii="Calibri" w:hAnsi="Calibri"/>
          <w:b w:val="0"/>
          <w:color w:val="3A4A28"/>
          <w:sz w:val="20"/>
        </w:rPr>
        <w:t>The primary concern is valuation relative to growth. At 53.87x trailing GAAP P/E and only 3-4% pro forma organic revenue growth guidance for 2026 ($2.81-$2.84B), RVTY requires sustained acceleration to justify its multiple [1][3]. GAAP profitability remains structurally challenged — ROE of 3.23% and profit margin of 8.26% reflect $7.5B of goodwill-related amortization from transformation-era acquisitions, creating a persistent gap between adjusted and reported earnings. The China immunodiagnostics divestiture (expected close end of 2027) removes ~$0.15 EPS and creates near-term headwinds despite 100bps organic growth improvement [3]. AI platform monetization is unproven — Xynthetica, BioDesign, and LabGistics face competition from larger, better-resourced players (Thermo Fisher, Danaher, Benchling) with established customer relationships in drug discovery workflows. Stock has rallied 24% in the past year, potentially front-running the recovery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Pharma/biotech spending recovery accelerating from low double-digit Q1 organic growth, with potential to sustain mid-to-high single-digit overall organic growth through 2026-2027 as biotech funding normalizes [3]</w:t>
      </w:r>
    </w:p>
    <w:p>
      <w:pPr>
        <w:spacing w:before="40" w:after="40"/>
        <w:ind w:left="283"/>
      </w:pPr>
      <w:r>
        <w:rPr>
          <w:rFonts w:ascii="Calibri" w:hAnsi="Calibri"/>
          <w:b/>
          <w:color w:val="4A6B25"/>
          <w:sz w:val="20"/>
        </w:rPr>
        <w:t xml:space="preserve">2. </w:t>
      </w:r>
      <w:r>
        <w:rPr>
          <w:rFonts w:ascii="Calibri" w:hAnsi="Calibri"/>
          <w:b w:val="0"/>
          <w:color w:val="3A4A28"/>
          <w:sz w:val="20"/>
        </w:rPr>
        <w:t>Pro forma adjusted operating margin expansion toward 28.4% FY2026 target, plus China divestiture closing (end 2027) adding 30bps margin enhancement and simplifying the portfolio [3]</w:t>
      </w:r>
    </w:p>
    <w:p>
      <w:pPr>
        <w:spacing w:before="40" w:after="40"/>
        <w:ind w:left="283"/>
      </w:pPr>
      <w:r>
        <w:rPr>
          <w:rFonts w:ascii="Calibri" w:hAnsi="Calibri"/>
          <w:b/>
          <w:color w:val="4A6B25"/>
          <w:sz w:val="20"/>
        </w:rPr>
        <w:t xml:space="preserve">3. </w:t>
      </w:r>
      <w:r>
        <w:rPr>
          <w:rFonts w:ascii="Calibri" w:hAnsi="Calibri"/>
          <w:b w:val="0"/>
          <w:color w:val="3A4A28"/>
          <w:sz w:val="20"/>
        </w:rPr>
        <w:t>AI platform launches (Xynthetica, BioDesign, LabGistics) expanding the software-as-a-service revenue mix and creating recurring revenue streams on top of the installed instrument base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structurally depressed (ROE 3.23%, profit margin 8.26%) due to goodwill-heavy balance sheet from transformation-era acquisitions — adjusted-to-GAAP convergence timeline is uncertain [7]</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guidance of 3-4% at 53.87x trailing P/E creates significant valuation risk if pharma/biotech recovery plateaus or macro headwinds slow R&amp;D spending [1][3]</w:t>
      </w:r>
    </w:p>
    <w:p>
      <w:pPr>
        <w:spacing w:before="40" w:after="40"/>
        <w:ind w:left="283"/>
      </w:pPr>
      <w:r>
        <w:rPr>
          <w:rFonts w:ascii="Calibri" w:hAnsi="Calibri"/>
          <w:b/>
          <w:color w:val="4A6B25"/>
          <w:sz w:val="20"/>
        </w:rPr>
        <w:t xml:space="preserve">3. </w:t>
      </w:r>
      <w:r>
        <w:rPr>
          <w:rFonts w:ascii="Calibri" w:hAnsi="Calibri"/>
          <w:b w:val="0"/>
          <w:color w:val="3A4A28"/>
          <w:sz w:val="20"/>
        </w:rPr>
        <w:t>AI platform monetization is unproven and faces competition from larger, better-resourced players (Thermo Fisher, Danaher, Benchling) with deeper customer relationships in the drug discovery workflow space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Revvity's core business — diagnostic instruments, reagents, genetic screening consumables, and neonatal screening services — involves physical-world products and highly regulated clinical workflows that AI structurally cannot replace [1][2]. FDA/CE-marked diagnostic assays require extensive clinical validation, physical sample processing, and reagent chemistry that AI cannot substitute. Lab instruments (mass spectrometers, plate readers, automated liquid handling) demand hardware manufacturing capabilities far beyond AI's reach. AI enhances data interpretation but cannot displace the underlying physical testing infrastructure. Pharma/biotech customers reported low double-digit organic growth in Q1 2026, with AI-enhanced discovery tools expanding Revvity's addressable market rather than cannibalizing it [3]. AI Opportunity (1/1): Xynthetica (AI-models-as-a-service), BioDesign (cloud-native molecular design for biologics), and LabGistics (AI-first drug discovery workflow) represent quantifiable AI product revenue streams launching in 2026, building on the Virtyx Technologies AI acquisition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Revvity Q1 2026 Earnings Release — $711M revenue, 7% YoY growth, BusinessWire / Revvity IR, May 5, 2026</w:t>
      </w:r>
    </w:p>
    <w:p>
      <w:pPr>
        <w:spacing w:before="20" w:after="20"/>
        <w:ind w:left="170"/>
      </w:pPr>
      <w:r>
        <w:rPr>
          <w:rFonts w:ascii="Calibri" w:hAnsi="Calibri"/>
          <w:b/>
          <w:color w:val="4A6B25"/>
          <w:sz w:val="15"/>
        </w:rPr>
        <w:t xml:space="preserve">2. </w:t>
      </w:r>
      <w:r>
        <w:rPr>
          <w:rFonts w:ascii="Calibri" w:hAnsi="Calibri"/>
          <w:b w:val="0"/>
          <w:color w:val="3A4A28"/>
          <w:sz w:val="17"/>
        </w:rPr>
        <w:t>Revvity Q1 2026 Strategic Portfolio Shifts — AI platforms Xynthetica, BioDesign, LabGistics, Lab Manager, May 2026</w:t>
      </w:r>
    </w:p>
    <w:p>
      <w:pPr>
        <w:spacing w:before="20" w:after="20"/>
        <w:ind w:left="170"/>
      </w:pPr>
      <w:r>
        <w:rPr>
          <w:rFonts w:ascii="Calibri" w:hAnsi="Calibri"/>
          <w:b/>
          <w:color w:val="4A6B25"/>
          <w:sz w:val="15"/>
        </w:rPr>
        <w:t xml:space="preserve">3. </w:t>
      </w:r>
      <w:r>
        <w:rPr>
          <w:rFonts w:ascii="Calibri" w:hAnsi="Calibri"/>
          <w:b w:val="0"/>
          <w:color w:val="3A4A28"/>
          <w:sz w:val="17"/>
        </w:rPr>
        <w:t>Revvity Q1 2026 Earnings Call Transcript — Investing.com, May 2026</w:t>
      </w:r>
    </w:p>
    <w:p>
      <w:pPr>
        <w:spacing w:before="20" w:after="20"/>
        <w:ind w:left="170"/>
      </w:pPr>
      <w:r>
        <w:rPr>
          <w:rFonts w:ascii="Calibri" w:hAnsi="Calibri"/>
          <w:b/>
          <w:color w:val="4A6B25"/>
          <w:sz w:val="15"/>
        </w:rPr>
        <w:t xml:space="preserve">4. </w:t>
      </w:r>
      <w:r>
        <w:rPr>
          <w:rFonts w:ascii="Calibri" w:hAnsi="Calibri"/>
          <w:b w:val="0"/>
          <w:color w:val="3A4A28"/>
          <w:sz w:val="17"/>
        </w:rPr>
        <w:t>Revvity Mission and Corporate Values — Revvity.com / MatrixBCG.com,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Revvity 2024 Impact Report and ESG Disclosures — Revvity ESG, 2024-2026</w:t>
      </w:r>
    </w:p>
    <w:p>
      <w:pPr>
        <w:spacing w:before="20" w:after="20"/>
        <w:ind w:left="170"/>
      </w:pPr>
      <w:r>
        <w:rPr>
          <w:rFonts w:ascii="Calibri" w:hAnsi="Calibri"/>
          <w:b/>
          <w:color w:val="4A6B25"/>
          <w:sz w:val="15"/>
        </w:rPr>
        <w:t xml:space="preserve">6. </w:t>
      </w:r>
      <w:r>
        <w:rPr>
          <w:rFonts w:ascii="Calibri" w:hAnsi="Calibri"/>
          <w:b w:val="0"/>
          <w:color w:val="3A4A28"/>
          <w:sz w:val="17"/>
        </w:rPr>
        <w:t>Revvity Insider Activity and Ownership — Simply Wall St / ad-hoc-news.de,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Stock Analysis — RVTY Statistics &amp;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