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RWT</w:t>
      </w:r>
      <w:r>
        <w:rPr>
          <w:rFonts w:ascii="Calibri" w:hAnsi="Calibri"/>
          <w:b/>
          <w:color w:val="1A2010"/>
          <w:sz w:val="40"/>
        </w:rPr>
        <w:t xml:space="preserve">  Redwood Trust, Inc.</w:t>
      </w:r>
    </w:p>
    <w:p>
      <w:pPr>
        <w:spacing w:after="120"/>
      </w:pPr>
      <w:r>
        <w:rPr>
          <w:rFonts w:ascii="Calibri" w:hAnsi="Calibri"/>
          <w:b/>
          <w:color w:val="6E8450"/>
          <w:sz w:val="18"/>
        </w:rPr>
        <w:t>DIVIDEND SLEEVE · 2026-07-25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Redwood Trust is an internally managed specialty finance company and mortgage REIT focused on housing credit. It operates through Sequoia Mortgage Banking (residential consumer loans), CoreVest Mortgage Banking (residential investor loans), Aspire (non-QM mortgage lending), and Redwood Investments (retained securitization interests). Founded in 1994 and headquartered in Mill Valley, California.</w:t>
      </w:r>
    </w:p>
    <w:p>
      <w:r>
        <w:rPr>
          <w:rFonts w:ascii="Calibri" w:hAnsi="Calibri"/>
          <w:b/>
          <w:color w:val="6E8450"/>
          <w:sz w:val="18"/>
        </w:rPr>
        <w:t>351 Employees · https://www.redwoodtrust.com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Redwood Trust achieved its third consecutive record operating quarter in Q1 2026, with mortgage banking volume reaching $8.5B, up 17% quarter-over-quarter and extending the record $23B full-year 2025 pace [1][2]. The launch and rapid scaling of the Aspire non-QM platform — which hit a record $2.1B in lock volume in Q2 2026, up 32% sequentially, with 140 correspondent loan sellers — represents a significant new business line expansion [3]. The Castlelake $8B prime jumbo JV further diversifies the platform [4]. AI Deployment (1/2): CTO Abhinav Asthana, hired November 2024, has led development of AI-powered engines for non-QM secondary market pricing and guideline comparison, deployed in Q2 2026 [3][5]. These are operational tools enhancing efficiency, but no specific cost savings or revenue impact has been quantified. Market Share (1/2): Redwood is a leading non-agency mortgage REIT with Sequoia loan acquisition volumes more than doubling over the past year [4]. The Castlelake JV provides up to $8B in additional jumbo capacity. However, the non-agency space includes significant competition from larger specialty finance players. Pipeline (1/2): The Castlelake JV ($8B prime jumbo capacity) begins contributing loans in Q3 2026, and a second Aspire JV with an institutional capital partner has been negotiated for Q3 2026 launch [3][4]. Aspire completed its second and third SPIRE shelf securitizations in Q2. R&amp;D Intensity (0/1): Technology investment is emerging under CTO Asthana with the AI-powered pricing engines, but R&amp;D spending as a percentage of revenue remains below industry average for financial technology companies.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Redwood's aspiration to be 'the nation's most innovative participant in housing credit' is clear and specific to its industry, connecting the business to underserved housing segments that government programs don't reach [5]. However, it reads more as competitive positioning — what Redwood wants to be — rather than a transformative vision of a better future that inspires sacrifice beyond profit. Community Impact (1/2): Redwood publishes ESG reports aligned with SASB standards and maintains Board-level oversight of environmental and social matters through its Audit Committee, though specific charitable programs, dollar amounts, and community investment details are not prominent in public materials [5]. Employee Retention (0/2): With 351 employees and a described culture emphasizing 'passion, integrity, and relationships,' Redwood appears stable, but no specific retention metrics, average tenure, or voluntary turnover data are available to confirm above-average retention [5]. Insider Buying (0/2): CEO Abate's April 2026 transaction involved conversion of 51,396 Performance Stock Units into common stock with 60,212 shares withheld for tax obligations — this is compensation plan mechanics, not voluntary open-market insider buying that signals personal conviction in the stock [5]. No evidence of meaningful net open-market insider purchases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Redwood's financial profile continues to reflect the structural leverage and cyclicality inherent to mortgage REITs. D/E of 2,656% is structural to the business model (funded by securitizations and warehouse lines) but scores at the floor of the Infrastructure calculation [7]. Trailing ROE of -8.56% and profit margin of -54.75% reflect GAAP mark-to-market losses on the investment portfolio, which management attributes to volatility-driven valuation changes rather than operating weakness — distributable Earnings Available for Distribution (EAD) of $0.21/share in Q1 2026 covered the $0.18 quarterly dividend [2]. GAAP book value declined to $7.12 per share from $7.36 at year-end 2025, implying the stock trades at a 31% discount to book at $4.92 [2][7]. Forward P/E of 6.22x scores well, reflecting low valuation but also significant perceived risk, compounded by removal from the S&amp;P SmallCap 600 effective July 8, 2026, which triggered forced selling of an estimated 20.3M shares by index funds [6]. Revenue growth of 24.4% YoY in Q1 2026 reflects continued mortgage banking momentum. The dividend of $0.72/year (14.6% yield) has been paid for 30 consecutive years but with zero consecutive years of growth and a 5yr CAGR of -0.1%, as the payout was cut during the 2020 crisis and has not regained prior levels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Redwood Trust shows elements of strategic evolution — the Aspire launch, Castlelake JV, and AI deployment demonstrate adaptability — but the company remains fundamentally a mortgage cycle play that optimizes for distributable earnings coverage. The volatile dividend history, persistent GAAP losses eroding book value, and the S&amp;P SmallCap 600 removal reflect finite game dynamics driven by market conditions rather than enduring purpose. Sinek would note that a company playing an infinite game would not have cut its dividend during the 2020 crisis or allowed market cap to erode to the point of index removal.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Redwood's aspiration to be 'the most innovative participant in housing credit' connects its work to underserved housing segments that government programs don't reach [5]. Sinek would recognize the purpose but note it reads as a competitive positioning statement rather than a Just Cause — it describes what Redwood wants to be (the most innovative) rather than the better future it is trying to create. The company provides liquidity to non-agency mortgage markets, a valuable societal function, but this purpose has not survived multiple housing cycles with consistent execution: the dividend was cut significantly in 2020, book value has eroded, and the company is still generating GAAP losses. A Just Cause should be resilient through crises, not contingent on market conditions.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Redwood's 351 employees operate in a described 'non-hierarchical, hard-working and fun' environment with stated values of passion, integrity, and relationships [5]. The hiring of a dedicated CTO for AI transformation and expansion of the Aspire correspondent network to 140 sellers suggest investment in capability building. However, no specific retention metrics, average tenure, or voluntary turnover data are available to confirm organizational trust levels, and employee reviews reveal mixed signals about leadership communication clarity and consistency of priorities.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that Redwood Trust acknowledges worthy rivals or uses competitive dynamics for self-improvement. Management commentary frames the non-agency market as 'poised for disruption' and emphasizes Redwood's own differentiation — language oriented toward capturing opportunity rather than learning from competitors' strengths [2][5]. The competitive landscape includes Annaly, AGNC, and Two Harbors in the REIT space, and Better.com and Rocket Mortgage in mortgage technology, but Redwood's communications consistently emphasize its own innovation rather than what it can learn from these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Redwood is executing meaningful strategic evolution: transitioning from legacy third-party asset dependence toward internally originated investments through Sequoia, CoreVest, and the new Aspire non-QM platform [2][3]. The Castlelake JV introduces a capital-light partnership model that improves economics per loan [4]. Aspire's rapid scaling from launch to $2.1B quarterly record volume demonstrates organizational adaptability [3]. The legacy investment portfolio is being actively wound down. However, all changes are incremental transformations within the same mortgage industry rather than a company-redefining pivot of the kind Sinek describes with Apple's Mac-to-iPhone transition.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has shown selective courage: accelerating the wind-down of legacy third-party assets while absorbing near-term GAAP losses, hiring a CTO to spearhead AI transformation, deploying AI-powered pricing engines, and negotiating the $8B Castlelake JV to scale without proportional capital deployment [2][4]. However, the dividend has been volatile — $0.92 in 2022, cut to $0.67 in 2024, partially restored to $0.72 in 2025 — suggesting reactive management driven by earnings cycles rather than principled conviction [7]. The S&amp;P SmallCap 600 removal, while triggered by market cap decline rather than direct management action, occurred under current leadership's watch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Redwood Trust is a specialty mortgage REIT executing on multiple growth vectors despite a stock price suppressed by forced index selling. Record mortgage banking volumes — $8.5B in Q1 2026 and over $8B in Q2 — demonstrate accelerating platform scale in the non-agency market [2][3]. The $8B Castlelake JV (announced April 2026) provides scalable, capital-efficient jumbo capacity with meaningful EPS accretion potential [4]. The Aspire non-QM platform has emerged as a high-growth engine, hitting $2.1B in record Q2 lock volume with 140 correspondent loan sellers and its own planned institutional JV for Q3 [3]. At $4.92, the stock trades at a 31% discount to GAAP book value ($7.12) and 6.2x forward earnings, pricing in significant risk while Q1 distributable earnings of $0.21/share covered the $0.18 quarterly dividend [2][7]. Newly deployed AI-powered pricing and guideline engines signal operational modernization. The forced selling from the S&amp;P SmallCap 600 removal (estimated 20.3M shares) creates a potential technical buying opportunity as index fund liquidation pressure subsides [6].</w:t>
      </w:r>
    </w:p>
    <w:p>
      <w:pPr>
        <w:spacing w:after="120"/>
      </w:pPr>
      <w:r>
        <w:rPr>
          <w:rFonts w:ascii="Calibri" w:hAnsi="Calibri"/>
          <w:b w:val="0"/>
          <w:color w:val="3A4A28"/>
          <w:sz w:val="20"/>
        </w:rPr>
        <w:t>The bear case centers on structural REIT leverage and persistent GAAP losses that erode book value. D/E of 2,656% reflects the inherent leverage of a mortgage banking model funded by securitizations, and any disruption to capital markets or credit spreads could severely impair the business [7]. Trailing GAAP losses — ROE of -8.56%, profit margin of -54.75% — have driven book value down from $7.36 to $7.12 in just one quarter, and the widening gap between GAAP and distributable earnings may not be simply mark-to-market noise if credit conditions deteriorate [2]. The dividend of $0.72/year has zero growth trajectory (5yr CAGR of -0.1%), having been cut during the 2020 crisis and never fully restored — the 14.6% yield reflects price risk, not income quality [7]. Removal from the S&amp;P SmallCap 600 reduces institutional ownership and index fund demand, potentially creating a persistent structural discount and lower liquidity [6]. The non-QM borrower base that Aspire serves is inherently higher-risk and more cyclically sensitive, and an economic downturn could trigger meaningful credit losses across the Sequoia, CoreVest, and Aspire portfolios. The Castlelake and Aspire JVs, while capital-efficient, introduce execution risk and partner dependency into what was previously a self-contained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earnings (late July) — with record Aspire volumes of $2.1B and aggregate banking volumes over $8B, another quarter of distributable earnings covering the dividend would validate the growth trajectory and could trigger re-rating from the post-index-removal discount [3][6]</w:t>
      </w:r>
    </w:p>
    <w:p>
      <w:pPr>
        <w:spacing w:before="40" w:after="40"/>
        <w:ind w:left="283"/>
      </w:pPr>
      <w:r>
        <w:rPr>
          <w:rFonts w:ascii="Calibri" w:hAnsi="Calibri"/>
          <w:b/>
          <w:color w:val="4A6B25"/>
          <w:sz w:val="20"/>
        </w:rPr>
        <w:t xml:space="preserve">2. </w:t>
      </w:r>
      <w:r>
        <w:rPr>
          <w:rFonts w:ascii="Calibri" w:hAnsi="Calibri"/>
          <w:b w:val="0"/>
          <w:color w:val="3A4A28"/>
          <w:sz w:val="20"/>
        </w:rPr>
        <w:t>Castlelake JV and Aspire JV loan contributions beginning Q3 2026 — the combined capacity of $8B+ in prime jumbo and non-QM should improve capital efficiency and drive EPS accretion without proportional equity deployment [3][4]</w:t>
      </w:r>
    </w:p>
    <w:p>
      <w:pPr>
        <w:spacing w:before="40" w:after="40"/>
        <w:ind w:left="283"/>
      </w:pPr>
      <w:r>
        <w:rPr>
          <w:rFonts w:ascii="Calibri" w:hAnsi="Calibri"/>
          <w:b/>
          <w:color w:val="4A6B25"/>
          <w:sz w:val="20"/>
        </w:rPr>
        <w:t xml:space="preserve">3. </w:t>
      </w:r>
      <w:r>
        <w:rPr>
          <w:rFonts w:ascii="Calibri" w:hAnsi="Calibri"/>
          <w:b w:val="0"/>
          <w:color w:val="3A4A28"/>
          <w:sz w:val="20"/>
        </w:rPr>
        <w:t>Index fund selling exhaustion — the forced selling of approximately 20.3M shares triggered by S&amp;P SmallCap 600 removal should largely complete by late July, removing the technical overhang that compressed the stock from approximately $6 to $4.92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Credit deterioration in non-agency portfolios — Sequoia, CoreVest, and Aspire serve borrowers outside government mortgage programs, making them inherently more sensitive to rising unemployment and economic recession; defaults would impair both distributable earnings and GAAP book value [2][3]</w:t>
      </w:r>
    </w:p>
    <w:p>
      <w:pPr>
        <w:spacing w:before="40" w:after="40"/>
        <w:ind w:left="283"/>
      </w:pPr>
      <w:r>
        <w:rPr>
          <w:rFonts w:ascii="Calibri" w:hAnsi="Calibri"/>
          <w:b/>
          <w:color w:val="4A6B25"/>
          <w:sz w:val="20"/>
        </w:rPr>
        <w:t xml:space="preserve">2. </w:t>
      </w:r>
      <w:r>
        <w:rPr>
          <w:rFonts w:ascii="Calibri" w:hAnsi="Calibri"/>
          <w:b w:val="0"/>
          <w:color w:val="3A4A28"/>
          <w:sz w:val="20"/>
        </w:rPr>
        <w:t>Interest rate volatility and spread widening — sustained elevation in rates would compress mortgage banking margins, reduce origination volumes, and widen mark-to-market losses on the retained investment portfolio, directly threatening dividend coverage [7]</w:t>
      </w:r>
    </w:p>
    <w:p>
      <w:pPr>
        <w:spacing w:before="40" w:after="40"/>
        <w:ind w:left="283"/>
      </w:pPr>
      <w:r>
        <w:rPr>
          <w:rFonts w:ascii="Calibri" w:hAnsi="Calibri"/>
          <w:b/>
          <w:color w:val="4A6B25"/>
          <w:sz w:val="20"/>
        </w:rPr>
        <w:t xml:space="preserve">3. </w:t>
      </w:r>
      <w:r>
        <w:rPr>
          <w:rFonts w:ascii="Calibri" w:hAnsi="Calibri"/>
          <w:b w:val="0"/>
          <w:color w:val="3A4A28"/>
          <w:sz w:val="20"/>
        </w:rPr>
        <w:t>Securitization market disruption — the business model depends on continuous access to capital markets for securitization funding; any credit market freeze could impair Redwood's ability to fund originations and honor JV commitments, as occurred briefly in 2020 [4][7]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Redwood Trust's core business — originating, securitizing, and investing in non-agency residential mortgage loans — operates within heavily regulated financial processes that AI cannot replace in aggregate [5]. The mortgage value chain requires deep relationships with 140+ correspondent loan sellers, institutional capital partners like Castlelake, rating agencies, and ongoing regulatory compliance that create meaningful moats against AI disruption [3][4]. Non-agency and non-QM underwriting requires nuanced credit judgment on borrowers who fall outside standardized guidelines, where human expertise remains essential — these are precisely the borrowers algorithmic models struggle with most. However, AI-driven mortgage platforms (Better.com, Rocket Mortgage's AI tools) continue automating portions of the origination process, creating competitive pressure on less technologically advanced platforms. Analysts do not cite AI as a displacement risk for mortgage REITs. AI Opportunity (0/1): While Redwood has developed and deployed AI-powered engines for non-QM secondary market pricing and guideline comparison in Q2 2026, and CTO Asthana is expanding digital capabilities across the platform, no specific AI-generated revenue figures or quantified cost savings have been disclosed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Redwood Trust Q4 2025 Earnings Release — record $23B full-year banking volumes, Q4 EPS $0.33 (beat consensus by $0.11), $87.3M revenue, February 2026</w:t>
      </w:r>
    </w:p>
    <w:p>
      <w:pPr>
        <w:spacing w:before="20" w:after="20"/>
        <w:ind w:left="170"/>
      </w:pPr>
      <w:r>
        <w:rPr>
          <w:rFonts w:ascii="Calibri" w:hAnsi="Calibri"/>
          <w:b/>
          <w:color w:val="4A6B25"/>
          <w:sz w:val="15"/>
        </w:rPr>
        <w:t xml:space="preserve">2. </w:t>
      </w:r>
      <w:r>
        <w:rPr>
          <w:rFonts w:ascii="Calibri" w:hAnsi="Calibri"/>
          <w:b w:val="0"/>
          <w:color w:val="3A4A28"/>
          <w:sz w:val="17"/>
        </w:rPr>
        <w:t>Redwood Trust Q1 2026 Earnings Release — GAAP loss $0.07/share, EAD $0.21/share, record $8.5B mortgage banking volume, book value $7.12, April 2026</w:t>
      </w:r>
    </w:p>
    <w:p>
      <w:pPr>
        <w:spacing w:before="20" w:after="20"/>
        <w:ind w:left="170"/>
      </w:pPr>
      <w:r>
        <w:rPr>
          <w:rFonts w:ascii="Calibri" w:hAnsi="Calibri"/>
          <w:b/>
          <w:color w:val="4A6B25"/>
          <w:sz w:val="15"/>
        </w:rPr>
        <w:t xml:space="preserve">3. </w:t>
      </w:r>
      <w:r>
        <w:rPr>
          <w:rFonts w:ascii="Calibri" w:hAnsi="Calibri"/>
          <w:b w:val="0"/>
          <w:color w:val="3A4A28"/>
          <w:sz w:val="17"/>
        </w:rPr>
        <w:t>Redwood Trust Q2 2026 Business Update — record Aspire non-QM $2.1B lock volume (+32% QoQ), aggregate volumes over $8B, AI-powered pricing engines deployed, July 2026</w:t>
      </w:r>
    </w:p>
    <w:p>
      <w:pPr>
        <w:spacing w:before="20" w:after="20"/>
        <w:ind w:left="170"/>
      </w:pPr>
      <w:r>
        <w:rPr>
          <w:rFonts w:ascii="Calibri" w:hAnsi="Calibri"/>
          <w:b/>
          <w:color w:val="4A6B25"/>
          <w:sz w:val="15"/>
        </w:rPr>
        <w:t xml:space="preserve">4. </w:t>
      </w:r>
      <w:r>
        <w:rPr>
          <w:rFonts w:ascii="Calibri" w:hAnsi="Calibri"/>
          <w:b w:val="0"/>
          <w:color w:val="3A4A28"/>
          <w:sz w:val="17"/>
        </w:rPr>
        <w:t>Castlelake and Redwood Trust $8B prime jumbo mortgage joint venture announcement, April 29, 2026</w:t>
      </w:r>
    </w:p>
    <w:p>
      <w:pPr>
        <w:spacing w:before="20" w:after="20"/>
        <w:ind w:left="170"/>
      </w:pPr>
      <w:r>
        <w:rPr>
          <w:rFonts w:ascii="Calibri" w:hAnsi="Calibri"/>
          <w:b/>
          <w:color w:val="4A6B25"/>
          <w:sz w:val="15"/>
        </w:rPr>
        <w:t xml:space="preserve">5. </w:t>
      </w:r>
      <w:r>
        <w:rPr>
          <w:rFonts w:ascii="Calibri" w:hAnsi="Calibri"/>
          <w:b w:val="0"/>
          <w:color w:val="3A4A28"/>
          <w:sz w:val="17"/>
        </w:rPr>
        <w:t>Redwood Trust corporate website — leadership team, CTO Asthana appointment (November 2024), culture values, housing credit mission, ESG oversight</w:t>
      </w:r>
    </w:p>
    <w:p>
      <w:pPr>
        <w:spacing w:before="20" w:after="20"/>
        <w:ind w:left="170"/>
      </w:pPr>
      <w:r>
        <w:rPr>
          <w:rFonts w:ascii="Calibri" w:hAnsi="Calibri"/>
          <w:b/>
          <w:color w:val="4A6B25"/>
          <w:sz w:val="15"/>
        </w:rPr>
        <w:t xml:space="preserve">6. </w:t>
      </w:r>
      <w:r>
        <w:rPr>
          <w:rFonts w:ascii="Calibri" w:hAnsi="Calibri"/>
          <w:b w:val="0"/>
          <w:color w:val="3A4A28"/>
          <w:sz w:val="17"/>
        </w:rPr>
        <w:t>S&amp;P Dow Jones Indices — RWT removed from S&amp;P SmallCap 600 effective July 8, 2026; estimated 20.3M shares of forced selling by index funds</w:t>
      </w:r>
    </w:p>
    <w:p>
      <w:pPr>
        <w:spacing w:before="20" w:after="20"/>
        <w:ind w:left="170"/>
      </w:pPr>
      <w:r>
        <w:rPr>
          <w:rFonts w:ascii="Calibri" w:hAnsi="Calibri"/>
          <w:b/>
          <w:color w:val="4A6B25"/>
          <w:sz w:val="15"/>
        </w:rPr>
        <w:t xml:space="preserve">7. </w:t>
      </w:r>
      <w:r>
        <w:rPr>
          <w:rFonts w:ascii="Calibri" w:hAnsi="Calibri"/>
          <w:b w:val="0"/>
          <w:color w:val="3A4A28"/>
          <w:sz w:val="17"/>
        </w:rPr>
        <w:t>Yahoo Finance / StockAnalysis.com — RWT financial data, valuation metrics, dividend history, retrieved July 25,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