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w:t>
      </w:r>
      <w:r>
        <w:rPr>
          <w:rFonts w:ascii="Calibri" w:hAnsi="Calibri"/>
          <w:b/>
          <w:color w:val="1A2010"/>
          <w:sz w:val="40"/>
        </w:rPr>
        <w:t xml:space="preserve">  Royal Bank of Canada</w:t>
      </w:r>
    </w:p>
    <w:p>
      <w:pPr>
        <w:spacing w:after="120"/>
      </w:pPr>
      <w:r>
        <w:rPr>
          <w:rFonts w:ascii="Calibri" w:hAnsi="Calibri"/>
          <w:b/>
          <w:color w:val="6E8450"/>
          <w:sz w:val="18"/>
        </w:rPr>
        <w:t>DIVIDEND SLEEVE · 2026-08-02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Royal Bank of Canada operates as a diversified financial service company worldwide. Through segments including Personal Banking, Commercial Banking, Wealth Management, Capital Markets, Insurance, and Investor &amp; Treasury Services, the company provides a comprehensive suite of financial products and services. RBC is Canada's largest bank by market capitalization ($220B+) and one of the largest banks globally, serving approximately 18 million clients across Canada, the United States, and 27 other countries.</w:t>
      </w:r>
    </w:p>
    <w:p>
      <w:r>
        <w:rPr>
          <w:rFonts w:ascii="Calibri" w:hAnsi="Calibri"/>
          <w:b/>
          <w:color w:val="6E8450"/>
          <w:sz w:val="18"/>
        </w:rPr>
        <w:t>101,000 Employees · https://www.rbc.com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RBC completed the transformative $13.5B (CAD) acquisition of HSBC Canada in March 2024, adding ~780,000 clients and executing the largest bank acquisition in Canadian history [1]. In February 2026, the bank created the AI Group reporting directly to the CEO, with veteran tech executive Bruce Ross appointed as Group Head, AI — a structural innovation in organizational design for a major bank [2]. AI Deployment (2/2): RBC ranks #3 globally and #1 in Canada in the Evident AI Index for AI maturity for the third consecutive year, the only bank ranked top-10 across all four assessment pillars (Talent, Innovation, Leadership, Transparency) [2]. CEO Dave McKay has stated AI investments could deliver up to C$1B in enterprise value by 2027. The Borealis AI research lab (founded 2016) develops proprietary models for fraud detection, risk management, and customer personalization deployed across 18 million clients [2]. Market Share (2/2): Canada's largest bank by market capitalization ($220B+), with dominant positions in Canadian personal banking, wealth management, and capital markets [1]. The HSBC Canada acquisition further consolidated its #1 position. Product Pipeline (0/2): While RBC deploys AI extensively across operations, there are no specific next-generation financial products with named launch dates and revenue visibility. R&amp;D Intensity (1/1): RBC's technology spending is among the highest of Canadian banks, with the dedicated Borealis AI lab, CEO-level AI Group, and appointment of tech-focused board member Tarek Robbiati (joining September 2026) reflecting above-peer investment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RBC's purpose — 'Helping clients thrive and communities prosper' — is specific, intentional, and clearly shapes the organization's strategy [3]. It connects banking to community prosperity beyond shareholder returns. The purpose is validated by extraordinary employee engagement: 95% of employees are proud to be part of RBC, and 86% are inspired by the bank's purpose [3]. CEO McKay's 12-year tenure and consistent strategic decisions tracing back to this purpose elevate it above standard banking mission statements. Community Impact (2/2): RBC has pledged C$2B in philanthropic investments by 2035 and donated C$130M to nearly 5,000 charitable organizations globally in the most recent year [3]. The RBC Future Launch initiative committed C$500M to help youth access skills and jobs. These are substantial, distinctive commitments with specific dollar amounts and programs aligned with community prosperity. Employee Retention (2/2): 95% of employees are proud to be part of RBC and 86% are inspired by the bank's purpose [3]. CEO McKay's 12-year tenure, his emphasis on hiring for humility and curiosity, and his five-year organizational transformation flattening hierarchies and building agile teams demonstrate a culture where people stay because they believe in the mission. The 101,000+ employee organization maintains exceptional engagement metrics by any standard. Insider Buying (0/2): No specific insider buying data was identified in recent searches. Executive compensation is heavily equity-linked through the bank's incentive programs, but no notable net insider purchases were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with D/E excluded (complex banking regulatory capital structure, as in prior screening). ROE of 17.2% exceeds the 15% target, reflecting efficient capital deployment across Canada's largest bank [1]. Q2 2026 revenue grew 11% YoY with record net income of C$5.5B (up 25%), adjusted EPS of C$3.90 (up 25%) [1]. Five-year revenue CAGR of approximately 8% reflects consistent expansion including the HSBC Canada acquisition impact. Forward P/E of 16.49 is well below the 20x target [4]. Profit margin of approximately 22% exceeds the 20% target. Dividend metrics are strong: yield of 2.38%, payout ratio of approximately 44% (near the 40% target), 30+ consecutive years of dividends paid, approximately 7 consecutive years of growth (post-COVID regulatory restriction lift), and 5-year dividend growth CAGR of approximately 7% [1][4]. The Q2 2026 dividend was hiked 14% to C$1.76/share, and RBC announced a normal course issuer bid for up to 45 million shares (~3% of shares outstanding) [1]. CET1 ratio of 13.5% demonstrates robust capital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Royal Bank of Canada demonstrates strong infinite game characteristics rooted in over 150 years of continuous operation, a 12-year CEO tenure with Dave McKay, and exceptional employee engagement (95% proud, 86% purpose-inspired). The $13.5B HSBC Canada acquisition demonstrated courage to invest for long-term franchise building, and the bank's C$2B philanthropic pledge and C$500M RBC Future Launch commitment reflect genuine stakeholder orientation. However, the abandonment of the C$500B sustainable finance target under pressure suggests limits to the courage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RBC's purpose — 'Helping clients thrive and communities prosper' — is validated by 150+ years of continuous operation through depressions, world wars, financial crises, and regulatory upheaval [1]. The C$2B philanthropic pledge, C$500M RBC Future Launch, and C$130M annual charitable giving demonstrate that the purpose is lived through specific, substantial investments [3]. 95% employee pride and 86% purpose-inspiration provide rare validation that the cause resonates internally [3]. However, this is a well-executed banking mission rather than a transformative vision of a future state that Sinek would cite as paradigmatic.</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McKay has invested five years in flattening the organization and building agile teams, co-locating engineers, architects, and business owners [2]. He emphasizes hiring for humility and curiosity — a leadership philosophy aligned with Sinek's emphasis on psychological safety and empowerment. The data is compelling: 95% of employees are proud to be part of RBC and 86% are inspired by the purpose [3]. McKay's 12-year CEO tenure provides exceptional leadership continuity, and the bank's 101,000+ employees operate within a high-engagement culture rare among organizations of this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RBC participates in the Evident AI Index benchmarking against global banks, using competitive ranking as motivation to improve its AI capabilities rather than as a weapon against rivals [2]. McKay's emphasis on learning, humility, and continuous improvement reflects an infinite competitive mindset. The bank approaches fintech disruption by empowering employees to challenge the status quo rather than defending against competitors, demonstrating a learn-and-improve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RBC has evolved meaningfully over 150+ years — from a traditional Canadian bank to a global diversified financial services platform operating across 27 countries [1]. The HSBC Canada acquisition reshaped the domestic franchise, the AI Group creation (February 2026) represents organizational reinvention, and the early Borealis AI investment (2016) predated the current AI boom [2]. The appointment of tech-focused board member Tarek Robbiati signals continued evolution. However, banking remains fundamentally the same business model — these are evolutionary changes within a stable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$13.5B HSBC Canada acquisition was the largest bank acquisition in Canadian history, a bold bet on franchise expansion during elevated integration risk and regulatory scrutiny [1]. McKay's five-year organizational transformation and early AI investment through Borealis (2016, well before the AI boom) represent sustained investment in future capability [2]. However, the abandonment of the C$500B sustainable finance target and withdrawal from the Net-Zero Banking Alliance — citing Canada's anti-greenwashing law — reveals limits to courageous commitment when costs become real [4]. Sinek would note that true courage means holding to commitments when it's costly, not retreating when accountability arrives.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Bank of Canada is Canada's largest bank ($220B+ market cap) delivering record performance — Q2 2026 net income of C$5.5B (up 25% YoY), adjusted EPS of C$3.90 (up 25%), with Q1 also delivering record C$5.8B net income [1]. At 16.49x forward P/E, the stock trades at a premium to Canadian bank peers but a discount to U.S. money center banks despite superior AI capabilities (#3 globally in Evident AI Index for three consecutive years) and 17.2% ROE [2][4]. The 14% dividend hike and announced buyback of up to 45 million shares signal management confidence in the earnings trajectory [1]. The HSBC Canada integration is delivering synergies with ~780,000 additional clients, and the C$1B AI value target through the CEO-level AI Group and Borealis lab positions RBC as the most technologically advanced of the Canadian Big Five [2]. The 2.38% dividend yield with a 44% payout ratio provides room for continued dividend growth.</w:t>
      </w:r>
    </w:p>
    <w:p>
      <w:pPr>
        <w:spacing w:after="120"/>
      </w:pPr>
      <w:r>
        <w:rPr>
          <w:rFonts w:ascii="Calibri" w:hAnsi="Calibri"/>
          <w:b w:val="0"/>
          <w:color w:val="3A4A28"/>
          <w:sz w:val="20"/>
        </w:rPr>
        <w:t>The bear case centers on macro, regulatory, and ESG headwinds. Canadian household debt remains among the highest globally, and a housing market correction would directly impact RBC's dominant personal banking and mortgage portfolios [1]. RBC's abandonment of its C$500B sustainable finance target and withdrawal from the Net-Zero Banking Alliance — citing Canada's Competition Act amendments on greenwashing — creates reputational risk, and the Competition Bureau investigation into alleged misleading environmental claims adds regulatory uncertainty [4]. Revenue growth normalized to 3.15% TTM after the HSBC acquisition impact annualized, suggesting future growth will be mid-single digits organically. The PEG ratio of 2.29 and forward P/E of 16.49 (well above the banking industry median of 10.31) suggest the market has priced in much of the growth story, limiting re-rating potential [4]. The Inspire Impact score of -49 may concern faith-based investors, and cross-border regulatory exposure across 27 countries creates compliance complexity.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earnings with net income up 25% YoY to C$5.5B, 14% dividend hike, and 45M-share buyback authorization signal management confidence in sustained earnings power [1]</w:t>
      </w:r>
    </w:p>
    <w:p>
      <w:pPr>
        <w:spacing w:before="40" w:after="40"/>
        <w:ind w:left="283"/>
      </w:pPr>
      <w:r>
        <w:rPr>
          <w:rFonts w:ascii="Calibri" w:hAnsi="Calibri"/>
          <w:b/>
          <w:color w:val="4A6B25"/>
          <w:sz w:val="20"/>
        </w:rPr>
        <w:t xml:space="preserve">2. </w:t>
      </w:r>
      <w:r>
        <w:rPr>
          <w:rFonts w:ascii="Calibri" w:hAnsi="Calibri"/>
          <w:b w:val="0"/>
          <w:color w:val="3A4A28"/>
          <w:sz w:val="20"/>
        </w:rPr>
        <w:t>AI-driven business value targeting up to C$1B by 2027 through the CEO-level AI Group (Bruce Ross, Group Head) and Borealis AI lab, with RBC maintaining #3 global ranking in the Evident AI Index for the third consecutive year [2]</w:t>
      </w:r>
    </w:p>
    <w:p>
      <w:pPr>
        <w:spacing w:before="40" w:after="40"/>
        <w:ind w:left="283"/>
      </w:pPr>
      <w:r>
        <w:rPr>
          <w:rFonts w:ascii="Calibri" w:hAnsi="Calibri"/>
          <w:b/>
          <w:color w:val="4A6B25"/>
          <w:sz w:val="20"/>
        </w:rPr>
        <w:t xml:space="preserve">3. </w:t>
      </w:r>
      <w:r>
        <w:rPr>
          <w:rFonts w:ascii="Calibri" w:hAnsi="Calibri"/>
          <w:b w:val="0"/>
          <w:color w:val="3A4A28"/>
          <w:sz w:val="20"/>
        </w:rPr>
        <w:t>HSBC Canada integration synergies with ~780,000 additional clients and broad-based growth across all business segments, supported by a robust 13.5% CET1 capital ratio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household debt and housing market vulnerability — RBC's dominant personal banking and mortgage franchise is directly exposed to a potential correction in one of the world's most leveraged housing markets [1]</w:t>
      </w:r>
    </w:p>
    <w:p>
      <w:pPr>
        <w:spacing w:before="40" w:after="40"/>
        <w:ind w:left="283"/>
      </w:pPr>
      <w:r>
        <w:rPr>
          <w:rFonts w:ascii="Calibri" w:hAnsi="Calibri"/>
          <w:b/>
          <w:color w:val="4A6B25"/>
          <w:sz w:val="20"/>
        </w:rPr>
        <w:t xml:space="preserve">2. </w:t>
      </w:r>
      <w:r>
        <w:rPr>
          <w:rFonts w:ascii="Calibri" w:hAnsi="Calibri"/>
          <w:b w:val="0"/>
          <w:color w:val="3A4A28"/>
          <w:sz w:val="20"/>
        </w:rPr>
        <w:t>ESG and regulatory headwinds — Competition Bureau investigation into alleged misleading environmental claims, abandonment of C$500B sustainable finance target, and NZBA withdrawal create reputational and legal risk [4]</w:t>
      </w:r>
    </w:p>
    <w:p>
      <w:pPr>
        <w:spacing w:before="40" w:after="40"/>
        <w:ind w:left="283"/>
      </w:pPr>
      <w:r>
        <w:rPr>
          <w:rFonts w:ascii="Calibri" w:hAnsi="Calibri"/>
          <w:b/>
          <w:color w:val="4A6B25"/>
          <w:sz w:val="20"/>
        </w:rPr>
        <w:t xml:space="preserve">3. </w:t>
      </w:r>
      <w:r>
        <w:rPr>
          <w:rFonts w:ascii="Calibri" w:hAnsi="Calibri"/>
          <w:b w:val="0"/>
          <w:color w:val="3A4A28"/>
          <w:sz w:val="20"/>
        </w:rPr>
        <w:t>Elevated valuation with forward P/E of 16.49 (vs. banking industry median of 10.31) and PEG of 2.29 limits re-rating potential and creates vulnerability to any earnings miss against record Q2 results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Diversified banking involves deeply regulated processes, relationship-driven wealth management, complex capital markets operations, and physical branch infrastructure that create meaningful barriers to AI disruption [2]. RBC's core businesses — personal banking, commercial lending, wealth management, and capital markets — require regulatory compliance, fiduciary responsibility, and human judgment in complex financial decisions. However, AI is increasingly deployed across banking for credit scoring, fraud detection, algorithmic trading, and robo-advisory, which could compress margins in commoditized product lines over time. Fintech competitors and AI-native financial platforms represent incremental pressure across retail banking and payments. AI Opportunity (1/1): RBC is among the most AI-advanced banks globally — ranked #3 in the Evident AI Index for three consecutive years, with the AI Group reporting directly to CEO McKay targeting up to C$1B in AI-derived business value by 2027 [2]. The Borealis AI research lab (founded 2016) deploys proprietary models for fraud detection, risk assessment, and customer personalization across 18 million clients. This is genuine, measurable AI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Bank of Canada Q2 2026 Earnings Release — record net income C$5.5B (up 25%), adjusted EPS C$3.90 (up 25%), dividend hike to C$1.76/share (14% increase), 45M-share buyback; Q1 2026 also delivered record C$5.8B net income; Newswire.ca, May 2026</w:t>
      </w:r>
    </w:p>
    <w:p>
      <w:pPr>
        <w:spacing w:before="20" w:after="20"/>
        <w:ind w:left="170"/>
      </w:pPr>
      <w:r>
        <w:rPr>
          <w:rFonts w:ascii="Calibri" w:hAnsi="Calibri"/>
          <w:b/>
          <w:color w:val="4A6B25"/>
          <w:sz w:val="15"/>
        </w:rPr>
        <w:t xml:space="preserve">2. </w:t>
      </w:r>
      <w:r>
        <w:rPr>
          <w:rFonts w:ascii="Calibri" w:hAnsi="Calibri"/>
          <w:b w:val="0"/>
          <w:color w:val="3A4A28"/>
          <w:sz w:val="17"/>
        </w:rPr>
        <w:t>Royal Bank of Canada AI Leadership — Evident AI Index #3 globally/#1 Canada for 3rd consecutive year, AI Group created Feb 2026 (Bruce Ross, Group Head), C$1B AI value target by 2027, Borealis AI lab (founded 2016), Chief Architect appointment; Yahoo Finance, Newswire.ca, Klover.ai, 2026</w:t>
      </w:r>
    </w:p>
    <w:p>
      <w:pPr>
        <w:spacing w:before="20" w:after="20"/>
        <w:ind w:left="170"/>
      </w:pPr>
      <w:r>
        <w:rPr>
          <w:rFonts w:ascii="Calibri" w:hAnsi="Calibri"/>
          <w:b/>
          <w:color w:val="4A6B25"/>
          <w:sz w:val="15"/>
        </w:rPr>
        <w:t xml:space="preserve">3. </w:t>
      </w:r>
      <w:r>
        <w:rPr>
          <w:rFonts w:ascii="Calibri" w:hAnsi="Calibri"/>
          <w:b w:val="0"/>
          <w:color w:val="3A4A28"/>
          <w:sz w:val="17"/>
        </w:rPr>
        <w:t>Royal Bank of Canada Community and Culture — purpose 'Helping clients thrive and communities prosper,' 95% employee pride, 86% purpose-inspired, C$2B philanthropic pledge by 2035, C$130M annual charitable giving, C$500M RBC Future Launch; DCFmodeling.com, Studocu, 2025-2026</w:t>
      </w:r>
    </w:p>
    <w:p>
      <w:pPr>
        <w:spacing w:before="20" w:after="20"/>
        <w:ind w:left="170"/>
      </w:pPr>
      <w:r>
        <w:rPr>
          <w:rFonts w:ascii="Calibri" w:hAnsi="Calibri"/>
          <w:b/>
          <w:color w:val="4A6B25"/>
          <w:sz w:val="15"/>
        </w:rPr>
        <w:t xml:space="preserve">4. </w:t>
      </w:r>
      <w:r>
        <w:rPr>
          <w:rFonts w:ascii="Calibri" w:hAnsi="Calibri"/>
          <w:b w:val="0"/>
          <w:color w:val="3A4A28"/>
          <w:sz w:val="17"/>
        </w:rPr>
        <w:t>Royal Bank of Canada ESG Controversies — dropped C$500B sustainable finance target citing anti-greenwashing law, withdrew from Net-Zero Banking Alliance, Competition Bureau investigation; Globe and Mail, ESG Today, ESG News,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