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w:t>
      </w:r>
      <w:r>
        <w:rPr>
          <w:rFonts w:ascii="Calibri" w:hAnsi="Calibri"/>
          <w:b/>
          <w:color w:val="1A2010"/>
          <w:sz w:val="40"/>
        </w:rPr>
        <w:t xml:space="preserve">  Seabridge Gold Inc.</w:t>
      </w:r>
    </w:p>
    <w:p>
      <w:pPr>
        <w:spacing w:after="120"/>
      </w:pPr>
      <w:r>
        <w:rPr>
          <w:rFonts w:ascii="Calibri" w:hAnsi="Calibri"/>
          <w:b/>
          <w:color w:val="6E8450"/>
          <w:sz w:val="18"/>
        </w:rPr>
        <w:t>GROWTH SLEEVE · 2026-08-04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Seabridge Gold Inc. is a development-stage gold mining company focused on exploration and advancement of large gold-copper projects. Its flagship KSM (Kerr-Sulphurets-Mitchell) project in British Columbia is one of the world's largest undeveloped gold-copper deposits with approximately 130M ounces of gold equivalent resources. The company generates zero revenue from mining operations — value derives from resource appreciation and future partnership or development. Co-founded by CEO Rudi Fronk in 1999, listed on NYSE and TSX.</w:t>
      </w:r>
    </w:p>
    <w:p>
      <w:r>
        <w:rPr>
          <w:rFonts w:ascii="Calibri" w:hAnsi="Calibri"/>
          <w:b/>
          <w:color w:val="6E8450"/>
          <w:sz w:val="18"/>
        </w:rPr>
        <w:t>200 Employees · https://www.seabridgegold.com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Seabridge is a pre-production development company that has not launched any products, executed business model transformations, or generated revenue in its 27-year history [1]. The company's strategy is resource acquisition and permitting advancement, not product innovation. AI Deployment (0/2): No AI products or quantified AI-driven efficiencies. The mining industry is exploring AI/ML for geological modeling and exploration optimization, but Seabridge has not deployed or reported specific AI applications [2]. Market Share (0/2): As a pre-production company with zero gold output, Seabridge holds no market share in gold production. Its competitive position is defined by resource reserves (130M oz gold equivalent), not market presence [1]. Product Pipeline (1/2): The KSM project has a clear development pathway — environmental certificate obtained, $100M secured loan facility arranged in 2026, and the company is actively seeking a development partner for the multi-billion dollar construction phase [1][3]. Additional projects include Courageous Lake (NWT) and 3 Aces (Yukon). R&amp;D Intensity (0/1): Spending on exploration and development ($22.3M in Q1 2026, up from $14.3M Q1 2025) represents investment in the KSM project, but this is capital expenditure, not R&amp;D in the traditional sense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Seabridge's stated strategy is to create shareholder value through the acquisition, development, and exploration of gold properties [1]. This is explicitly financial — 'deliver value to shareholders' — with no articulation of a larger purpose beyond profit. Interchangeable with any gold exploration company. Community Impact (1/2): The company allocated CA$50,000 in student bursaries to 48 students in northwest British Columbia through partnerships with Indigenous governments, directed 71% of procurement spending to local suppliers, and received the Resource and Mining Excellence Award in Smithers, BC in 2026 for sustainability and community leadership [3][4]. Meaningful for a company of this size. Employee Retention (0/2): Seabridge achieved its best safety record in company history (TRIF 0.50, well below 2.0 target) and reports 53% female representation, but with approximately 200 employees and only 1 Glassdoor review, no meaningful retention or cultural data is available [3]. Insider Buying (0/2): CEO Rudi Fronk has led the company for 27 years, suggesting alignment, but no specific insider buying data was identified in research. Share issuance (+13.92% YoY) dilutes existing holders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severely limited metrics for a pre-production mining company with zero revenue. D/E of 46% is healthy relative to the 70% target, reflecting $400M total debt (secured loan for KSM development) against approximately $861M book equity [5]. ROE of -6.40% is below the 0% floor, reflecting ongoing net losses of $50.4M annually with no revenue to offset exploration and corporate expenses [1][5]. Revenue, profit margin, Forward P/E, PEG, and growth metrics are all unavailable — the company generates zero revenue and has no earnings, making traditional valuation metrics inapplicable. Free cash flow of -$116M reflects capital-intensive project development ($103M capex in TTM) [5]. Share dilution of 13.9% YoY erodes per-share value. Liquidity floor cleared: ~800K est avg volume x $27.59 = $22.1M.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Seabridge is explicitly a finite game player — the company exists to create shareholder value through gold resource development, with no articulation of a purpose beyond financial returns. CEO Fronk's 27-year tenure demonstrates patience and persistence, but the company's strategy is fundamentally about owning a large gold resource and eventually monetizing it through partnership or development. Sinek would see this as a company playing to win a specific game (develop KSM)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Seabridge's purpose is explicitly financial — 'creating shareholder value through the acquisition, development, and exploration of gold properties' [1]. There is no vision of a better future, no articulation of purpose beyond profit, and no indication that the company exists for anything other than monetizing gold resources. This is the textbook definition of a finite player in Sinek's framework. The company does not articulate why gold development matters to the world beyond its economic value.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Seabridge achieved its best safety performance in company history (TRIF 0.50 vs 2.0 target) and reports 53% female representation, suggesting genuine attention to employee welfare [3]. The CEO's 27-year tenure and COO Ryan Hoel's internal promotion signal leadership stability and succession planning. However, with approximately 200 employees and minimal Glassdoor data (1 review), there is insufficient evidence to assess organizational trust depth. Small company dynamics mean the founder-CEO's personality dominates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Seabridge acknowledging competitors' strengths or using competitive dynamics for self-improvement. Gold exploration companies compete primarily on resource quality and permitting status rather than operational capabilities, and Seabridge's public communications emphasize the unique scale of KSM's resource base rather than lessons from peers like Barrick, Newmont, or other gold producers.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Seabridge has been singularly focused on the KSM gold-copper project for over two decades, with no evidence of strategic pivots, business model evolution, or willingness to abandon the core asset in service of a larger purpose [1]. The company has acquired additional projects (Courageous Lake, 3 Aces) but these are incremental additions to the same gold exploration strategy. Sinek would note the absence of any existential test or transformative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Rudi Fronk has led Seabridge for 27 years, persisting through multiple gold price cycles, market crashes, and sustained operating losses without capitulating or selling the KSM project at a discount [1][2]. Securing a $100M loan facility for KSM development in 2026 demonstrates conviction in the long-term thesis. However, the patience is driven by financial optionality (waiting for gold prices to rise) rather than a mission-driven sacrifice — holding a large gold resource during a gold bull market is rational, not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Seabridge Gold offers leveraged exposure to gold prices through ownership of one of the world's largest undeveloped gold-copper deposits — KSM contains approximately 130M ounces of gold equivalent resources in British Columbia [1]. The stock has appreciated 73% over the past year, driven by gold's strong performance and advancing project milestones including a $100M secured loan facility in 2026 [3]. With environmental certification in hand and active partnership discussions, KSM's potential development could unlock a massive valuation re-rating — analyst consensus targets of $63.33 imply 130% upside [5]. The D/E of 46% is manageable, and the company is structurally immune to AI disruption (score 9/10), as physical gold extraction cannot be digitally displaced. The community engagement record (CA$50K in bursaries, 71% local procurement, Resource Excellence Award) supports social license to operate [4].</w:t>
      </w:r>
    </w:p>
    <w:p>
      <w:pPr>
        <w:spacing w:after="120"/>
      </w:pPr>
      <w:r>
        <w:rPr>
          <w:rFonts w:ascii="Calibri" w:hAnsi="Calibri"/>
          <w:b w:val="0"/>
          <w:color w:val="3A4A28"/>
          <w:sz w:val="20"/>
        </w:rPr>
        <w:t>The bear case is fundamental: Seabridge generates zero revenue, has never produced an ounce of gold, and has accumulated losses throughout its 27-year history [1]. The $2.77B market cap is entirely option value on future development — if KSM is not developed (due to capital requirements, permitting challenges, or gold price decline), the stock could lose most of its value. The legal challenge to KSM's 'substantially started' environmental certificate determination by Ecojustice on behalf of Indigenous groups and conservation trusts represents existential risk — loss of this status could require a new environmental assessment process spanning years [3]. The $400M debt against $104M cash creates financial vulnerability if partnership discussions stall or gold prices decline significantly [5]. Annual share dilution of 13.9% steadily erodes per-share value for existing holders. Free cash flow of -$116M annually means the company must continuously raise capital through equity issuance or debt, diluting shareholders. The KSM project requires multi-billion dollar capital investment that Seabridge cannot fund independently, making value realization entirely dependent on securing a well-capitalized development partner willing to commit billions in capital expenditure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KSM development partnership announcement with a major mining company (Barrick, Newmont, or similar) would validate the resource value and provide the multi-billion dollar capital required for construction [1]</w:t>
      </w:r>
    </w:p>
    <w:p>
      <w:pPr>
        <w:spacing w:before="40" w:after="40"/>
        <w:ind w:left="283"/>
      </w:pPr>
      <w:r>
        <w:rPr>
          <w:rFonts w:ascii="Calibri" w:hAnsi="Calibri"/>
          <w:b/>
          <w:color w:val="4A6B25"/>
          <w:sz w:val="20"/>
        </w:rPr>
        <w:t xml:space="preserve">2. </w:t>
      </w:r>
      <w:r>
        <w:rPr>
          <w:rFonts w:ascii="Calibri" w:hAnsi="Calibri"/>
          <w:b w:val="0"/>
          <w:color w:val="3A4A28"/>
          <w:sz w:val="20"/>
        </w:rPr>
        <w:t>Continued gold price appreciation above $3,000/oz strengthening the economic case for KSM development and increasing the company's resource-based net asset value</w:t>
      </w:r>
    </w:p>
    <w:p>
      <w:pPr>
        <w:spacing w:before="40" w:after="40"/>
        <w:ind w:left="283"/>
      </w:pPr>
      <w:r>
        <w:rPr>
          <w:rFonts w:ascii="Calibri" w:hAnsi="Calibri"/>
          <w:b/>
          <w:color w:val="4A6B25"/>
          <w:sz w:val="20"/>
        </w:rPr>
        <w:t xml:space="preserve">3. </w:t>
      </w:r>
      <w:r>
        <w:rPr>
          <w:rFonts w:ascii="Calibri" w:hAnsi="Calibri"/>
          <w:b w:val="0"/>
          <w:color w:val="3A4A28"/>
          <w:sz w:val="20"/>
        </w:rPr>
        <w:t>Successful defense of the 'substantially started' environmental certificate determination, removing the most significant legal overhang and de-risking the permitting pathway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Legal challenge to KSM's 'substantially started' determination by Ecojustice, SkeenaWild Conservation Trust, and Indigenous groups could revoke the environmental certificate, requiring a new multi-year assessment and potentially stranding the project [3]</w:t>
      </w:r>
    </w:p>
    <w:p>
      <w:pPr>
        <w:spacing w:before="40" w:after="40"/>
        <w:ind w:left="283"/>
      </w:pPr>
      <w:r>
        <w:rPr>
          <w:rFonts w:ascii="Calibri" w:hAnsi="Calibri"/>
          <w:b/>
          <w:color w:val="4A6B25"/>
          <w:sz w:val="20"/>
        </w:rPr>
        <w:t xml:space="preserve">2. </w:t>
      </w:r>
      <w:r>
        <w:rPr>
          <w:rFonts w:ascii="Calibri" w:hAnsi="Calibri"/>
          <w:b w:val="0"/>
          <w:color w:val="3A4A28"/>
          <w:sz w:val="20"/>
        </w:rPr>
        <w:t>Zero revenue and -$116M annual free cash flow require continuous capital raises — 13.9% YoY share dilution erodes per-share value, and any disruption to capital markets access could threaten the company's ability to maintain KSM development activity [5]</w:t>
      </w:r>
    </w:p>
    <w:p>
      <w:pPr>
        <w:spacing w:before="40" w:after="40"/>
        <w:ind w:left="283"/>
      </w:pPr>
      <w:r>
        <w:rPr>
          <w:rFonts w:ascii="Calibri" w:hAnsi="Calibri"/>
          <w:b/>
          <w:color w:val="4A6B25"/>
          <w:sz w:val="20"/>
        </w:rPr>
        <w:t xml:space="preserve">3. </w:t>
      </w:r>
      <w:r>
        <w:rPr>
          <w:rFonts w:ascii="Calibri" w:hAnsi="Calibri"/>
          <w:b w:val="0"/>
          <w:color w:val="3A4A28"/>
          <w:sz w:val="20"/>
        </w:rPr>
        <w:t>Multi-billion dollar KSM construction cost cannot be self-funded — the company is entirely dependent on finding a development partner, and any major gold price decline below $1,500/oz could make the project uneconomic and partnership unlikely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and exploration is among the most AI-immune businesses in existence. The core activities — geological surveying, drilling programs, environmental permitting, mine construction, and physical extraction of gold and copper from rock — are entirely physical-world operations that AI structurally cannot displace [2]. No AI system can mine gold, build tailings dams, or navigate Indigenous consultation and environmental regulatory processes. If anything, AI increases demand for physical commodities like gold and copper (AI data centers require massive copper infrastructure). The gold price itself — Seabridge's primary value driver — is driven by macroeconomic and monetary factors completely independent of AI disruption dynamics. AI Opportunity (0/1): No AI revenue or AI-powered products. Seabridge is a pre-production mining company with no commercial operations of any kind.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Seabridge Gold Q1 2026 Earnings Results — $6.6M net loss, $22.3M invested in mineral interests, SEC Form 6-K, May 2026</w:t>
      </w:r>
    </w:p>
    <w:p>
      <w:pPr>
        <w:spacing w:before="20" w:after="20"/>
        <w:ind w:left="170"/>
      </w:pPr>
      <w:r>
        <w:rPr>
          <w:rFonts w:ascii="Calibri" w:hAnsi="Calibri"/>
          <w:b/>
          <w:color w:val="4A6B25"/>
          <w:sz w:val="15"/>
        </w:rPr>
        <w:t xml:space="preserve">2. </w:t>
      </w:r>
      <w:r>
        <w:rPr>
          <w:rFonts w:ascii="Calibri" w:hAnsi="Calibri"/>
          <w:b w:val="0"/>
          <w:color w:val="3A4A28"/>
          <w:sz w:val="17"/>
        </w:rPr>
        <w:t>Seabridge Gold Leadership and Management Changes — CEO Rudi Fronk 27-year tenure, COO Ryan Hoel promotion, seabridgegold.com, 2024-2026</w:t>
      </w:r>
    </w:p>
    <w:p>
      <w:pPr>
        <w:spacing w:before="20" w:after="20"/>
        <w:ind w:left="170"/>
      </w:pPr>
      <w:r>
        <w:rPr>
          <w:rFonts w:ascii="Calibri" w:hAnsi="Calibri"/>
          <w:b/>
          <w:color w:val="4A6B25"/>
          <w:sz w:val="15"/>
        </w:rPr>
        <w:t xml:space="preserve">3. </w:t>
      </w:r>
      <w:r>
        <w:rPr>
          <w:rFonts w:ascii="Calibri" w:hAnsi="Calibri"/>
          <w:b w:val="0"/>
          <w:color w:val="3A4A28"/>
          <w:sz w:val="17"/>
        </w:rPr>
        <w:t>Seabridge Gold KSM Project Legal Challenges — Ecojustice judicial review of 'substantially started' determination, SkeenaWild Conservation Trust, 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Seabridge Gold Safety, Sustainability, and Community Achievements — TRIF 0.50, CA$50K bursaries, Resource Excellence Award, newsfile,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SA Key Statistics, $2.77B market cap, D/E 46%, FCF -$116M,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