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SBLK</w:t>
      </w:r>
      <w:r>
        <w:rPr>
          <w:rFonts w:ascii="Calibri" w:hAnsi="Calibri"/>
          <w:b/>
          <w:color w:val="1A2010"/>
          <w:sz w:val="40"/>
        </w:rPr>
        <w:t xml:space="preserve">  Star Bulk Carriers Corp.</w:t>
      </w:r>
    </w:p>
    <w:p>
      <w:pPr>
        <w:spacing w:after="120"/>
      </w:pPr>
      <w:r>
        <w:rPr>
          <w:rFonts w:ascii="Calibri" w:hAnsi="Calibri"/>
          <w:b/>
          <w:color w:val="6E8450"/>
          <w:sz w:val="18"/>
        </w:rPr>
        <w:t>DIVIDEND SLEEVE · 2026-07-25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Star Bulk Carriers Corp. engages in the ocean transportation of dry bulk cargoes through the ownership and operation of dry bulk carrier vessels worldwide. The company's fleet of 135 vessels transports iron ore, coal, grains, bauxite, fertilizers, and steel products. Star Bulk merged with Eagle Bulk Shipping in 2024, creating one of the largest publicly traded dry bulk fleets globally. The company has 8 Kamsarmax newbuildings on order for 2026 delivery.</w:t>
      </w:r>
    </w:p>
    <w:p>
      <w:r>
        <w:rPr>
          <w:rFonts w:ascii="Calibri" w:hAnsi="Calibri"/>
          <w:b/>
          <w:color w:val="6E8450"/>
          <w:sz w:val="18"/>
        </w:rPr>
        <w:t>294 Employees · https://www.starbulk.com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2024 Eagle Bulk merger created one of the largest publicly traded dry bulk fleets (135 vessels), and Q1 2026 showed a dramatic earnings recovery with net income of $58.5M (vs $0.5M a year ago) driven by TCE rates rising 49% to $18,493/day [1]. However, dry bulk shipping remains a commodity business with limited product innovation — the fleet transports the same cargoes via the same ocean routes. AI Deployment (0/2): No evidence of AI-powered products or services. The company uses advanced resource planning systems and business intelligence tools for fleet optimization, but these are standard operational tools, not differentiated AI deployment [2]. Market Share (1/2): Star Bulk is among the largest publicly listed dry bulk carriers globally post-Eagle Bulk merger with 135 vessels, though market share in the fragmented global shipping industry remains modest relative to state-owned fleets and private operators [1]. Pipeline (1/2): Eight Kamsarmax newbuilding vessels on order with $195.5M in remaining capex, expected delivery throughout 2026 — these will modernize and expand the fleet while reducing average fleet age below 12.9 years [1]. R&amp;D Intensity (1/1): Star Bulk was the first dry bulk company worldwide to undergo a Dry-BMSA audit with RightShip, publishes annual ESG reports (now in 8th edition), measures Scope 3 emissions, and integrates technology and data analytics into operational strategy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Star Bulk's corporate communications focus on 'safely moving the world's essential commodities while modernizing the dry bulk sector' — operational language without a distinctive aspirational purpose [2]. There is no transformative mission statement that articulates a vision of a better future beyond reliable cargo transportation. No Just Cause is evident; the company exists to profit from global trade flows. Community Impact (1/2): The company published its 8th annual ESG report in 2025, developed in accordance with GRI and SASB standards, measuring Scope 3 emissions and maintaining an ESG Committee at the Board level [3]. First dry bulk company for Dry-BMSA audit with RightShip demonstrates industry leadership on safety, but no significant charitable programs or community investment beyond standard ESG compliance. Employee Retention (1/2): CEO Petros Pappas has led since 2014, management team averages 10.8 years tenure, and the company has maintained stability through the Eagle Bulk integration [2]. However, with only 294 onshore employees and crew-outsourced operations, organizational trust assessment is limited. Insider Buying (0/2): No evidence of meaningful net insider buying by CEO Pappas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 Bulk's financial profile shows significant improvement from the cyclical trough. Q1 2026 net income of $58.5M ($0.52 EPS) vs near-zero a year ago, driven by TCE rates rising 49% to $18,493/day [1]. D/E of 45% is conservative for capital-intensive shipping, providing balance sheet flexibility with $408M cash and 29 unencumbered vessels [1]. However, trailing ROE of 5.83% and profit margin of 13.0% remain below targets despite the recovery [4]. Revenue TTM of $1.09B declined 3.7% YoY, and the 5yr revenue CAGR of approximately -8% reflects the cyclical peak-to-trough pattern [4]. Forward P/E of 7.34x reflects analyst expectations of strong earnings recovery (implied forward EPS of $3.83), and the stock trades at 1.29x book value ($28.14 vs $21.79 book) [4]. CEO Pappas targets $3+/share in shareholder returns for 2026, up dramatically from the $0.58 TTM dividend [1]. Payout ratio of approximately 47% on trailing earnings is sustainable. Dividend has been paid for 8 consecutive years since the 2019 restart but shows zero consecutive years of growth and a negative 5yr CAGR reflecting the $2.50+ peak in 2022 to recent trough of $0.37 [4]. Liquidity floor cleared: 1.19M avg vol x $28.14 = $33.4M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Star Bulk under CEO Pappas operates with the pragmatic, cyclically-aware mindset typical of experienced shipping operators — focused on fleet optimization, balance sheet discipline, and returning cash to shareholders during strong markets. This is competent finite game execution within a cyclical commodity industry, not a transformative just cause. The variable dividend policy ($2.50+ in 2022, $0.37 in 2025, now $0.50 in Q1 2026) exemplifies a company that plays the cycles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 Bulk's corporate communications center on fleet management, shareholder returns, and operational efficiency — standard shipping industry language that articulates no vision beyond being a well-run dry bulk carrier [2]. CEO Pappas targets '$3+/share in shareholder returns' — financial targets, not a cause. Sinek would note the complete absence of language about the future the company is trying to create. Moving commodities across oceans is essential but uninspiring without a larger purpose connecting this work to human progress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Pappas's 12+ year tenure (since 2014, in maritime since 1978) and the management team's 10.8-year average tenure demonstrate exceptional organizational stability [2]. The small onshore team of 294 employees and consistent leadership through the Eagle Bulk merger integration suggest adequate trust. However, the crew-outsourced operating model means the vast majority of the workforce (seafarers) operates outside the organizational trust framework, making broader trust assessment difficult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dry bulk shipping industry is inherently competitive and commodity-driven, with limited differentiation. Star Bulk's competitive strategy — fleet consolidation through the Eagle Bulk merger, newbuilding program — focuses on scale advantages and cost efficiency rather than self-improvement through rivalry [1]. No evidence of management referencing competitors' strengths as learning opportunities or framing competition as motivation for improvement. The language emphasizes market leadership and shareholder returns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Eagle Bulk merger in 2024 was a significant strategic evolution, transforming Star Bulk into one of the largest publicly listed dry bulk fleets (135 vessels) [1]. The 8 Kamsarmax newbuildings represent fleet modernization, and ESG investments including Scope 3 measurement and RightShip certification adapt to evolving regulatory requirements [3]. Fleet optimization through selling older vessels (Star Scarlett and Star Mariella sold for $46.4M in 2026) while adding modern newbuilds shows strategic evolution. However, the core business model — owning and operating bulk carriers — has not fundamentally changed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that sacrifice short-term performance for future capability. The variable dividend policy — paying $2.50+ when rates peaked in 2022, cutting to $0.37 during the trough, now recovering to $0.50 — is financially rational cyclical management, not courage [1][4]. The Eagle Bulk acquisition was executed from a position of strength during a cyclical recovery, not a risky long-term bet against market sentiment. CEO Pappas optimizes competently for each cycle phase rather than making costly bets on the company's future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 Bulk Carriers is executing a dramatic cyclical recovery — Q1 2026 net income of $58.5M ($0.52 EPS) vs near-zero a year ago, driven by TCE rates rising 49% to $18,493/day, with adjusted EBITDA of $114.3M (up 133% YoY) [1]. CEO Pappas targets $3+/share in total shareholder returns for 2026, implying a 10.7% yield on the current $28.14 price [1]. Forward P/E of 7.34x reflects analyst expectations of continued earnings recovery, with the stock trading at 1.29x book value ($21.79) and commanding a 'Strong Buy' consensus [4]. The fleet of 135 vessels is well-positioned: D/E of 45% provides balance sheet flexibility, $408M cash and 29 unencumbered vessels provide liquidity, and 8 Kamsarmax newbuildings arriving throughout 2026 will modernize and expand capacity [1]. Supply-demand fundamentals remain favorable: limited new vessel ordering, extended Red Sea voyage times, and global infrastructure/AI data center buildout driving demand for raw materials Star Bulk transports.</w:t>
      </w:r>
    </w:p>
    <w:p>
      <w:pPr>
        <w:spacing w:after="120"/>
      </w:pPr>
      <w:r>
        <w:rPr>
          <w:rFonts w:ascii="Calibri" w:hAnsi="Calibri"/>
          <w:b w:val="0"/>
          <w:color w:val="3A4A28"/>
          <w:sz w:val="20"/>
        </w:rPr>
        <w:t>The bear case centers on dry bulk shipping's inherent cyclicality and zero pricing power. Trailing profit margin of 13% and ROE of 5.83% remain below target despite the recovery, and revenue declined 3.7% TTM with a 5yr CAGR of approximately -8%, demonstrating the speed at which rate deterioration flows through earnings [4]. The variable dividend — $2.50+ in 2022, $0.37 in 2025, now recovering — makes income planning impossible and the TTM yield of 2.06% is unattractive for income investors even if the forward yield is substantially higher [4]. The $3+/share target depends entirely on freight rate sustainability, which management cannot control. Global trade policy risk (tariffs, China slowdown, geopolitical disruptions), environmental regulations (EU ETS, IMO 2030 carbon intensity targets), and fleet oversupply risk from newbuilding deliveries across the industry could reverse the rate recovery [3]. The fleet average age of 12.9 years means increasing drydocking costs and potential regulatory obsolescence for older vessels. Star Bulk has zero pricing power — it is a price-taker in a globally commoditized market, and any global recession would crater freight rates and eliminate the dividend within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Pappas targets $3+/share in 2026 shareholder returns — with Q1 already at $0.50, continued rate strength could deliver 10%+ total yield and attract income-focused investors [1]</w:t>
      </w:r>
    </w:p>
    <w:p>
      <w:pPr>
        <w:spacing w:before="40" w:after="40"/>
        <w:ind w:left="283"/>
      </w:pPr>
      <w:r>
        <w:rPr>
          <w:rFonts w:ascii="Calibri" w:hAnsi="Calibri"/>
          <w:b/>
          <w:color w:val="4A6B25"/>
          <w:sz w:val="20"/>
        </w:rPr>
        <w:t xml:space="preserve">2. </w:t>
      </w:r>
      <w:r>
        <w:rPr>
          <w:rFonts w:ascii="Calibri" w:hAnsi="Calibri"/>
          <w:b w:val="0"/>
          <w:color w:val="3A4A28"/>
          <w:sz w:val="20"/>
        </w:rPr>
        <w:t>Eight Kamsarmax newbuildings delivering throughout 2026 will add modern, fuel-efficient capacity while older vessels are sold, improving fleet economics and reducing environmental compliance risk [1]</w:t>
      </w:r>
    </w:p>
    <w:p>
      <w:pPr>
        <w:spacing w:before="40" w:after="40"/>
        <w:ind w:left="283"/>
      </w:pPr>
      <w:r>
        <w:rPr>
          <w:rFonts w:ascii="Calibri" w:hAnsi="Calibri"/>
          <w:b/>
          <w:color w:val="4A6B25"/>
          <w:sz w:val="20"/>
        </w:rPr>
        <w:t xml:space="preserve">3. </w:t>
      </w:r>
      <w:r>
        <w:rPr>
          <w:rFonts w:ascii="Calibri" w:hAnsi="Calibri"/>
          <w:b w:val="0"/>
          <w:color w:val="3A4A28"/>
          <w:sz w:val="20"/>
        </w:rPr>
        <w:t>Tightening vessel supply (limited orderbook), extended Red Sea voyage times, and AI-driven demand for raw materials and infrastructure support TCE rate recovery from $12,439 in Q1 2025 to $18,493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Dry bulk shipping is a commodity cycle business with zero pricing power — freight rates are driven entirely by global supply/demand dynamics beyond management control, and any recession would rapidly compress TCE rates [1]</w:t>
      </w:r>
    </w:p>
    <w:p>
      <w:pPr>
        <w:spacing w:before="40" w:after="40"/>
        <w:ind w:left="283"/>
      </w:pPr>
      <w:r>
        <w:rPr>
          <w:rFonts w:ascii="Calibri" w:hAnsi="Calibri"/>
          <w:b/>
          <w:color w:val="4A6B25"/>
          <w:sz w:val="20"/>
        </w:rPr>
        <w:t xml:space="preserve">2. </w:t>
      </w:r>
      <w:r>
        <w:rPr>
          <w:rFonts w:ascii="Calibri" w:hAnsi="Calibri"/>
          <w:b w:val="0"/>
          <w:color w:val="3A4A28"/>
          <w:sz w:val="20"/>
        </w:rPr>
        <w:t>Variable dividend policy makes income unreliable — per share payouts swung from $2.50+ (2022) to $0.37 (2025) to $0.50 (Q1 2026), and the $3+/share target for 2026 is contingent on rate sustainability that cannot be guaranteed [1][4]</w:t>
      </w:r>
    </w:p>
    <w:p>
      <w:pPr>
        <w:spacing w:before="40" w:after="40"/>
        <w:ind w:left="283"/>
      </w:pPr>
      <w:r>
        <w:rPr>
          <w:rFonts w:ascii="Calibri" w:hAnsi="Calibri"/>
          <w:b/>
          <w:color w:val="4A6B25"/>
          <w:sz w:val="20"/>
        </w:rPr>
        <w:t xml:space="preserve">3. </w:t>
      </w:r>
      <w:r>
        <w:rPr>
          <w:rFonts w:ascii="Calibri" w:hAnsi="Calibri"/>
          <w:b w:val="0"/>
          <w:color w:val="3A4A28"/>
          <w:sz w:val="20"/>
        </w:rPr>
        <w:t>Environmental regulations (EU ETS compliance costs, IMO 2030 carbon intensity targets) could accelerate fleet obsolescence and increase operating costs, particularly for the fleet's older vessels averaging 12.9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 transportation of dry bulk cargoes is a physical-world operation that AI structurally cannot displace [1]. Ships must physically carry iron ore, coal, grains, and fertilizers across oceans — there is no digital substitute for this service. Shipping demand is driven by global GDP, trade flows, and commodity production, none of which are substitutable by AI. The industry's primary AI exposure is positive: AI data centers and industrial expansion increase demand for raw materials that Star Bulk transports. The Red Sea/Suez disruptions creating longer voyage routes further demonstrates the physical nature of the business — no algorithm can shorten the distance around the Cape of Good Hope [1]. Analysts see zero substitution risk for dry bulk shipping. AI Opportunity (1/1): AI-enabled fleet optimization, predictive maintenance, voyage planning, and fuel efficiency analytics represent tangible cost reduction opportunities. Star Bulk integrates technology and data analytics into strategy, and the broader shipping industry is adopting AI tools for operational efficiency [2][3]. The 8 newbuilding Kamsarmax vessels will likely incorporate more advanced technology for route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 Bulk Carriers Q1 2026 Earnings Release — $58.5M net income ($0.52 EPS), TCE $18,493/day (up 49% YoY), $114.3M adj EBITDA, $0.50 dividend, CEO targets $3+/share in 2026 returns, May 2026</w:t>
      </w:r>
    </w:p>
    <w:p>
      <w:pPr>
        <w:spacing w:before="20" w:after="20"/>
        <w:ind w:left="170"/>
      </w:pPr>
      <w:r>
        <w:rPr>
          <w:rFonts w:ascii="Calibri" w:hAnsi="Calibri"/>
          <w:b/>
          <w:color w:val="4A6B25"/>
          <w:sz w:val="15"/>
        </w:rPr>
        <w:t xml:space="preserve">2. </w:t>
      </w:r>
      <w:r>
        <w:rPr>
          <w:rFonts w:ascii="Calibri" w:hAnsi="Calibri"/>
          <w:b w:val="0"/>
          <w:color w:val="3A4A28"/>
          <w:sz w:val="17"/>
        </w:rPr>
        <w:t>Star Bulk Carriers Strategy / Management — CEO Petros Pappas (since 2014, maritime since 1978), 10.8-year average management tenure, technology and data analytics in operations</w:t>
      </w:r>
    </w:p>
    <w:p>
      <w:pPr>
        <w:spacing w:before="20" w:after="20"/>
        <w:ind w:left="170"/>
      </w:pPr>
      <w:r>
        <w:rPr>
          <w:rFonts w:ascii="Calibri" w:hAnsi="Calibri"/>
          <w:b/>
          <w:color w:val="4A6B25"/>
          <w:sz w:val="15"/>
        </w:rPr>
        <w:t xml:space="preserve">3. </w:t>
      </w:r>
      <w:r>
        <w:rPr>
          <w:rFonts w:ascii="Calibri" w:hAnsi="Calibri"/>
          <w:b w:val="0"/>
          <w:color w:val="3A4A28"/>
          <w:sz w:val="17"/>
        </w:rPr>
        <w:t>Star Bulk 2024 ESG Report — 8th annual publication, GRI/SASB aligned, Scope 3 emissions, ESG Committee, first Dry-BMSA audit with RightShip,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SBLK financial statistics: P/E 22.6, Forward P/E 7.34, D/E 45%, ROE 5.83%, profit margin 13%, dividend yield 2.06%, FCF $263M,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