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SFL</w:t>
      </w:r>
      <w:r>
        <w:rPr>
          <w:rFonts w:ascii="Calibri" w:hAnsi="Calibri"/>
          <w:b/>
          <w:color w:val="1A2010"/>
          <w:sz w:val="40"/>
        </w:rPr>
        <w:t xml:space="preserve">  SFL Corporation Ltd.</w:t>
      </w:r>
    </w:p>
    <w:p>
      <w:pPr>
        <w:spacing w:after="120"/>
      </w:pPr>
      <w:r>
        <w:rPr>
          <w:rFonts w:ascii="Calibri" w:hAnsi="Calibri"/>
          <w:b/>
          <w:color w:val="6E8450"/>
          <w:sz w:val="18"/>
        </w:rPr>
        <w:t>DIVIDEND SLEEVE · 2026-07-26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Marine Shipping · NYSE · Bermuda</w:t>
      </w:r>
    </w:p>
    <w:p>
      <w:pPr>
        <w:spacing w:after="80"/>
      </w:pPr>
      <w:r>
        <w:rPr>
          <w:rFonts w:ascii="Calibri" w:hAnsi="Calibri"/>
          <w:b w:val="0"/>
          <w:color w:val="3A4A28"/>
          <w:sz w:val="20"/>
        </w:rPr>
        <w:t>SFL Corporation is a maritime and offshore asset owning and chartering company operating in oil transportation, dry bulk, container shipping, car carriers, and drilling rigs. As of Q1 2026, the fleet includes approximately 73 vessels across tankers, bulkers, container vessels, car carriers, and energy assets, with a $3.7 billion charter backlog and two-thirds of contracts tied to investment-grade counterparties.</w:t>
      </w:r>
    </w:p>
    <w:p>
      <w:r>
        <w:rPr>
          <w:rFonts w:ascii="Calibri" w:hAnsi="Calibri"/>
          <w:b/>
          <w:color w:val="6E8450"/>
          <w:sz w:val="18"/>
        </w:rPr>
        <w:t>24 Employees · https://www.sflcorp.com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SFL has diversified its fleet mix into car carriers and expanded offshore drilling assets, but this is incremental asset acquisition rather than transformative innovation — the core charter model is unchanged from five years ago [1]. AI Deployment (0/2): No evidence of AI-powered products, AI-driven route optimization savings, or quantified AI operational improvements across the 73-vessel fleet [2]. Market Share (1/2): SFL is a meaningful participant in maritime leasing with a $3.7 billion charter backlog and two-thirds of contracts with investment-grade counterparties, but it does not hold category-leading share in any single shipping segment [1]. Pipeline (1/2): New Hercules drilling rig contract in Canada adds approximately $170 million to backlog beginning Q1 2027, providing specific near-term revenue visibility [1]. R&amp;D Intensity (0/1): Maritime shipping companies have negligible R&amp;D spend; SFL operates as a 24-person asset management platform with no proprietary technology development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SFL's stated purpose is generic — focused on owning and chartering maritime assets to generate shareholder returns with no distinctive vision beyond capital allocation [2]. Community Impact (1/2): SFL has issued a $150 million sustainability-linked bond and publishes ESG reports covering emissions reduction and seafarer welfare, showing some commitment to environmental responsibility [4]. Employee Retention (1/2): With only 24 onshore employees, meaningful retention data is limited, but CEO Ole B. Hjertaker's 16+ year tenure since 2009 and the stability of the lean management team suggest organizational continuity [2]. Insider Buying (0/2): No evidence of meaningful net insider buying; ownership structure is dominated by Hemen Holding (John Fredriksen's investment vehicle), with minority shareholder interests secondary to the controlling entity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Q1 2026 delivered a 400% EPS surprise with $0.20 vs $0.04 forecast on $174.5M revenue beating $167.93M consensus, but the company remains in transition to sustained profitability [1]. D/E of 279% reflects heavy leverage with $2.77B debt against $281.68M cash, scoring near zero on balance sheet strength [3]. ROE and profit margin remain slightly negative on a trailing basis despite the Q1 beat, as the Simply Wall St headline 'Q1 2026 EPS Loss Tests Bullish Profitability Narratives' confirms [1]. Dividend raised from $0.20 to $0.22/quarter ($0.88 annualized), yielding 7.17%, but 5-year dividend growth CAGR remains negative following the $0.27 to $0.20 cut [3]. The 22-year consecutive payment history is the strongest infrastructure metric, providing significant weight in the mechanical calculation. Forward PE estimated at ~19x based on improving earnings trajectory. Liquidity floor cleared: ~1.6M avg volume x $12.28 = $19.6M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SFL operates with a moderately infinite mindset — the long-term charter model, 22-year dividend track record, and recent dividend restoration after a cut suggest a commitment to playing the long game. However, the company's identity as a John Fredriksen-controlled financial vehicle, combined with aggressive leverage of 279% D/E and the 2024 dividend cut, reveals finite-game tendencies focused on capital extraction rather than purpose-driven endurance.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SFL's purpose is capital allocation in maritime assets — acquiring vessels and rigs at attractive prices and chartering them to quality counterparties. This is a financially rational strategy but not a Just Cause in Sinek's framework [2]. There is no articulated vision of a better future; the company exists to generate returns for shareholders, particularly its controlling shareholder Hemen Holding. The $3.7B charter backlog demonstrates execution consistency but not transcendent purpose [1].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24 employees, SFL operates as a lean asset management platform where trust is implicit in the small-team structure [2]. CEO Ole B. Hjertaker has led since 2009 (16+ years), providing exceptional leadership continuity. The management team averages 6.9 years tenure, suggesting stability [2]. However, the company relies heavily on third-party vessel operators for day-to-day fleet management, making internal team dynamics less central to business execution.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SFL positions itself as a diversified maritime asset platform rather than competing head-to-head in any single shipping segment [1]. Management commentary focuses on portfolio optimization, counterparty quality, and fleet mix rather than market share warfare against specific competitors. The diversification across tankers, containers, car carriers, and drilling reflects an improvement-oriented strategy rather than zero-sum competitive thinking.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SFL has demonstrated incremental flexibility by diversifying from its original oil tanker focus into containers, car carriers, dry bulk, and offshore drilling [1]. The name change from Ship Finance International to SFL Corporation in 2019 signaled broader ambitions. The new Hercules drilling contract in Canada adds $170M to backlog, showing continued willingness to evolve the asset mix [1]. However, these are evolutionary moves within maritime assets, not transformative reinvention.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SFL demonstrated some courage by restoring dividend growth — raising from $0.20 to $0.22/quarter after the painful cut from $0.27 — signaling confidence in the earnings recovery trajectory [1]. The company's willingness to invest in new drilling contracts during uncertain energy markets shows long-term asset allocation thinking. However, the 279% D/E leverage and financial engineering suggest prioritizing returns over resilience, and the dividend cut itself revealed the limits of the company's commitment to shareholder stewardship.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SFL Corporation offers a 7.17% dividend yield backed by a $3.7 billion charter backlog with two-thirds contracted to investment-grade counterparties, providing multi-year cash flow visibility [1]. Q1 2026 delivered a 400% EPS surprise ($0.20 vs $0.04 forecast) on $174.5M revenue beating consensus by $6.6M, signaling the beginning of an earnings recovery from the post-supercycle trough [1]. The dividend was raised from $0.20 to $0.22/quarter, restoring growth after the painful 2024 cut, and the new Hercules drilling contract adds $170M to backlog starting Q1 2027 [1]. At approximately $12.28 per share with 22 consecutive years of dividend payments, SFL offers an attractive income vehicle if the charter rate recovery materializes. Maritime shipping remains a critical global infrastructure play structurally immune to AI disruption [3].</w:t>
      </w:r>
    </w:p>
    <w:p>
      <w:pPr>
        <w:spacing w:after="120"/>
      </w:pPr>
      <w:r>
        <w:rPr>
          <w:rFonts w:ascii="Calibri" w:hAnsi="Calibri"/>
          <w:b w:val="0"/>
          <w:color w:val="3A4A28"/>
          <w:sz w:val="20"/>
        </w:rPr>
        <w:t>The bear case remains significant despite the Q1 beat. SFL is still unprofitable on a trailing basis with negative ROE and profit margins, and the 'Q1 2026 EPS Loss Tests Bullish Profitability Narratives' headline underscores that one good quarter does not establish sustained earnings power [1]. D/E of 279% with $2.77B debt against $281.68M cash creates substantial refinancing and interest rate risk [3]. The 5-year dividend growth CAGR remains negative following the $0.27 to $0.20 cut, and while the recent raise to $0.22 is encouraging, it is still 18.5% below the pre-cut level. Revenue growth is flat as charter rates normalize from the 2022-2024 supercycle, with analyst forecasts of $666.52M for FY2026 reflecting only modest improvement [1]. The Hemen Holding/John Fredriksen control structure means minority shareholders have limited influence over capital allocation decisions, and the stock has declined 23% over the past 52 weeks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Charter rate stabilization in H2 2026 driving sustained quarterly profitability beyond the Q1 2026 EPS surprise, supporting the restored $0.88 annual dividend [1]</w:t>
      </w:r>
    </w:p>
    <w:p>
      <w:pPr>
        <w:spacing w:before="40" w:after="40"/>
        <w:ind w:left="283"/>
      </w:pPr>
      <w:r>
        <w:rPr>
          <w:rFonts w:ascii="Calibri" w:hAnsi="Calibri"/>
          <w:b/>
          <w:color w:val="4A6B25"/>
          <w:sz w:val="20"/>
        </w:rPr>
        <w:t xml:space="preserve">2. </w:t>
      </w:r>
      <w:r>
        <w:rPr>
          <w:rFonts w:ascii="Calibri" w:hAnsi="Calibri"/>
          <w:b w:val="0"/>
          <w:color w:val="3A4A28"/>
          <w:sz w:val="20"/>
        </w:rPr>
        <w:t>New Hercules drilling rig contract in Canada ($170M) beginning Q1 2027 adds backlog visibility and diversifies revenue into higher-margin offshore energy [1]</w:t>
      </w:r>
    </w:p>
    <w:p>
      <w:pPr>
        <w:spacing w:before="40" w:after="40"/>
        <w:ind w:left="283"/>
      </w:pPr>
      <w:r>
        <w:rPr>
          <w:rFonts w:ascii="Calibri" w:hAnsi="Calibri"/>
          <w:b/>
          <w:color w:val="4A6B25"/>
          <w:sz w:val="20"/>
        </w:rPr>
        <w:t xml:space="preserve">3. </w:t>
      </w:r>
      <w:r>
        <w:rPr>
          <w:rFonts w:ascii="Calibri" w:hAnsi="Calibri"/>
          <w:b w:val="0"/>
          <w:color w:val="3A4A28"/>
          <w:sz w:val="20"/>
        </w:rPr>
        <w:t>Revenue forecast of $666.52M for FY2026 and $742.53M for FY2027 implies 10.9% annual growth trajectory if charter markets stabilize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Trailing negative ROE and profit margin indicate the Q1 2026 beat may not represent sustained profitability — further dividend cuts remain possible if charter rates weaken [1][3]</w:t>
      </w:r>
    </w:p>
    <w:p>
      <w:pPr>
        <w:spacing w:before="40" w:after="40"/>
        <w:ind w:left="283"/>
      </w:pPr>
      <w:r>
        <w:rPr>
          <w:rFonts w:ascii="Calibri" w:hAnsi="Calibri"/>
          <w:b/>
          <w:color w:val="4A6B25"/>
          <w:sz w:val="20"/>
        </w:rPr>
        <w:t xml:space="preserve">2. </w:t>
      </w:r>
      <w:r>
        <w:rPr>
          <w:rFonts w:ascii="Calibri" w:hAnsi="Calibri"/>
          <w:b w:val="0"/>
          <w:color w:val="3A4A28"/>
          <w:sz w:val="20"/>
        </w:rPr>
        <w:t>279% D/E ratio with $2.77B debt against $281.68M cash creates significant refinancing risk, particularly if credit markets tighten or vessel valuations decline [3]</w:t>
      </w:r>
    </w:p>
    <w:p>
      <w:pPr>
        <w:spacing w:before="40" w:after="40"/>
        <w:ind w:left="283"/>
      </w:pPr>
      <w:r>
        <w:rPr>
          <w:rFonts w:ascii="Calibri" w:hAnsi="Calibri"/>
          <w:b/>
          <w:color w:val="4A6B25"/>
          <w:sz w:val="20"/>
        </w:rPr>
        <w:t xml:space="preserve">3. </w:t>
      </w:r>
      <w:r>
        <w:rPr>
          <w:rFonts w:ascii="Calibri" w:hAnsi="Calibri"/>
          <w:b w:val="0"/>
          <w:color w:val="3A4A28"/>
          <w:sz w:val="20"/>
        </w:rPr>
        <w:t>Cyclical charter rate normalization after the 2022-2024 shipping supercycle could suppress revenues for multiple years, as demonstrated by the 24.3% annual revenue decline through 2025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SFL's business is fundamentally physical — owning and chartering tankers, bulk carriers, container ships, car carriers, and drilling rigs across 73 vessels. AI cannot replace physical maritime transportation or offshore drilling infrastructure [2]. Shipping demand is driven by global trade volumes and energy markets, not information processing vulnerable to AI substitution. AI-driven economic growth and data center expansion actually increase demand for physical goods transportation and energy infrastructure. Regulatory complexity including IMO standards, flag state requirements, and port state controls adds structural barriers that AI cannot circumvent. AI Opportunity (0/1): SFL generates no AI-related revenue. The company could potentially benefit from AI in route optimization, predictive maintenance, and charter pricing analytics, but has not deployed or monetized any AI capabilities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SFL Corporation Q1 2026 Earnings — $174.5M revenue beating $167.93M forecast, EPS $0.20 vs $0.04 expected (400% surprise), dividend raised to $0.22/quarter, Hercules drilling contract adds $170M to backlog, May 2026</w:t>
      </w:r>
    </w:p>
    <w:p>
      <w:pPr>
        <w:spacing w:before="20" w:after="20"/>
        <w:ind w:left="170"/>
      </w:pPr>
      <w:r>
        <w:rPr>
          <w:rFonts w:ascii="Calibri" w:hAnsi="Calibri"/>
          <w:b/>
          <w:color w:val="4A6B25"/>
          <w:sz w:val="15"/>
        </w:rPr>
        <w:t xml:space="preserve">2. </w:t>
      </w:r>
      <w:r>
        <w:rPr>
          <w:rFonts w:ascii="Calibri" w:hAnsi="Calibri"/>
          <w:b w:val="0"/>
          <w:color w:val="3A4A28"/>
          <w:sz w:val="17"/>
        </w:rPr>
        <w:t>SFL Corporation Management and Corporate Structure — CEO Ole B. Hjertaker since July 2009 (16+ years), 24 onshore employees, 6.9-year average management tenure, Hemen Holding/John Fredriksen control</w:t>
      </w:r>
    </w:p>
    <w:p>
      <w:pPr>
        <w:spacing w:before="20" w:after="20"/>
        <w:ind w:left="170"/>
      </w:pPr>
      <w:r>
        <w:rPr>
          <w:rFonts w:ascii="Calibri" w:hAnsi="Calibri"/>
          <w:b/>
          <w:color w:val="4A6B25"/>
          <w:sz w:val="15"/>
        </w:rPr>
        <w:t xml:space="preserve">3. </w:t>
      </w:r>
      <w:r>
        <w:rPr>
          <w:rFonts w:ascii="Calibri" w:hAnsi="Calibri"/>
          <w:b w:val="0"/>
          <w:color w:val="3A4A28"/>
          <w:sz w:val="17"/>
        </w:rPr>
        <w:t>SFL Corporation Financial Data — D/E 279%, $2.77B debt, $281.68M cash, annual dividend $0.88, yield 7.17%, stock price declined 23% over 52 weeks,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SFL Corporation ESG &amp; Sustainability — $150M sustainability-linked bond, emissions reduction targets, seafarer welfare programs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