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SHOO</w:t>
      </w:r>
      <w:r>
        <w:rPr>
          <w:rFonts w:ascii="Calibri" w:hAnsi="Calibri"/>
          <w:b/>
          <w:color w:val="1A2010"/>
          <w:sz w:val="40"/>
        </w:rPr>
        <w:t xml:space="preserve">  Steven Madden, Ltd.</w:t>
      </w:r>
    </w:p>
    <w:p>
      <w:pPr>
        <w:spacing w:after="120"/>
      </w:pPr>
      <w:r>
        <w:rPr>
          <w:rFonts w:ascii="Calibri" w:hAnsi="Calibri"/>
          <w:b/>
          <w:color w:val="6E8450"/>
          <w:sz w:val="18"/>
        </w:rPr>
        <w:t>DIVIDEND SLEEVE · 2026-07-28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NASDAQ · United States</w:t>
      </w:r>
    </w:p>
    <w:p>
      <w:pPr>
        <w:spacing w:after="80"/>
      </w:pPr>
      <w:r>
        <w:rPr>
          <w:rFonts w:ascii="Calibri" w:hAnsi="Calibri"/>
          <w:b w:val="0"/>
          <w:color w:val="3A4A28"/>
          <w:sz w:val="20"/>
        </w:rPr>
        <w:t>Steven Madden designs, sources, and markets fashion-forward branded and private label footwear, accessories, and apparel. The company operates through Wholesale Footwear, Wholesale Accessories/Apparel, Direct-to-Consumer, and Licensing segments under brands including Steve Madden, Kurt Geiger, Dolce Vita, Betsey Johnson, and Anne Klein. Headquartered in Long Island City, New York.</w:t>
      </w:r>
    </w:p>
    <w:p>
      <w:r>
        <w:rPr>
          <w:rFonts w:ascii="Calibri" w:hAnsi="Calibri"/>
          <w:b/>
          <w:color w:val="6E8450"/>
          <w:sz w:val="18"/>
        </w:rPr>
        <w:t>4,200 Employees · https://www.stevemadden.com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2024 Kurt Geiger acquisition (~$500M) was a transformative strategic move that expanded international presence and DTC capabilities, driving Q1 2026 revenue up 18% to $653.1M [1]. The multi-brand portfolio strategy (Steve Madden, Kurt Geiger, Dolce Vita, Betsey Johnson, Anne Klein) has successfully diversified revenue streams beyond the core Steve Madden label. AI Deployment (0/2): No meaningful AI products shipping to customers. The Fast Simon partnership for AI-driven shopping optimization is early-stage with no quantified revenue impact [2]. Management has focused on data strategy for product pages to optimize for AI-driven discovery, but this is defensive positioning, not revenue-generating AI deployment. Market Share (2/2): Steve Madden is a category leader in affordable fashion footwear with strong brand recognition among 18-35 demographics. Q1 2026 showed 'strong comps in direct-to-consumer business and robust sell-through performance in wholesale,' indicating share gains [1]. Kurt Geiger adds dominant UK accessible luxury positioning. Product Pipeline (1/2): Management raised FY2026 revenue guidance to 10-12% growth with store expansion and international distribution through Kurt Geiger's European network, but specific new product category launches are limited [1]. R&amp;D Intensity (0/1): Fashion company with minimal formal R&amp;D; innovation expressed through trend-driven design and brand acquisition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Steve Madden's purpose centers on making trend-driven fashion accessible to a broad consumer base — clear and identifies customer value but not distinctive, interchangeable with many fashion peers. The mission does not articulate a deeper purpose beyond affordable style. Community Impact (1/2): Founding member of the Sustainable Apparel Coalition; 'Let's Get Real' sustainability strategy launched in 2021 with inclusive sizing expansion, post-consumer takeback programs, and industry-recognized factory waste-management programs [3]. However, no specific charitable giving dollar amounts or distinctive community investment identified. Employee Retention (0/2): Glassdoor rating of 3.2/5.0 with employees describing a 'fast-paced, sometimes hectic' culture with 'demanding hours and limited time-off flexibility' [2]. Below-average sentiment for the industry with no standout retention data. Insider Buying (0/2): Net insider selling over the last 12 months — one insider reduced holdings by $1.1M, with a 10K share sale at $43.45 in June 2026. No evidence of conviction buying by CEO Rosenfeld or other executives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a breakout quarter: revenue of $653.1M (up 18%), gross margin expanding to 54.7% from 40.9%, and net income of $71.8M (up 77.7%) [1]. FY2026 guidance raised to 10-12% revenue growth with diluted EPS of $2.55-$2.65 [1]. D/E of 54% is conservative and below the 70% target. However, TTM profitability remains depressed: ROE of 5.51% and profit margin of 1.76% reflect FY2025 tariff impacts and Kurt Geiger integration costs that are now normalizing. Forward P/E of 18.66 is attractively below the 20 target. 5-year revenue CAGR of 16.08% demonstrates consistent top-line momentum. Dividend has been paid for 10+ consecutive years at $0.84/year, though growth has stalled since 2022 with payout ratio elevated at ~81% on depressed TTM earnings [4]. Liquidity cleared: 1.53M avg volume x $43.75 = $66.9M.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Steve Madden under CEO Rosenfeld plays a mixed game — the Kurt Geiger acquisition demonstrates willingness to invest in long-term brand portfolio expansion, and the company has successfully evolved from a single-brand wholesaler to a multi-brand omnichannel platform. However, the fashion industry's inherent focus on seasonal trend cycles creates finite-game pressure, and employee sentiment suggests the culture prioritizes speed over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Steve Madden's cause — making fashion-forward footwear accessible — is functional but shallow. The purpose is clear and has been consistent since the company's 1990 founding, but it lacks the transformative quality Sinek demands. Making trendy shoes affordable is a business model, not a vision of a better future. The 'Let's Get Real' sustainability strategy adds purpose but was launched only in 2021 and hasn't been tested through crisis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3.2/5.0 is below average for retail, with employees describing demanding hours, limited flexibility, and a hectic pace [2]. CEO Rosenfeld's 18-year tenure provides leadership continuity, and the executive team has been relatively stable. However, some reviews cite concerns about layoff handling and leadership culture, suggesting political dynamics at the management level rather than exceptional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Steve Madden's multi-brand acquisition strategy reflects an infinite competitive mindset — acquiring Kurt Geiger to compete in accessible luxury where peers like LVMH have advantages, rather than trying to dominate every segment with a single brand [1]. The company acknowledges the competitive landscape by building a portfolio that addresses different consumer segments, framing competition as motivation to broaden capabilities rather than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Steve Madden has evolved from a single-brand U.S. wholesale footwear company to a multi-brand, international, omnichannel platform through strategic acquisitions (Kurt Geiger, Dolce Vita, Betsey Johnson) [1]. The DTC channel expansion and international growth through Kurt Geiger represent meaningful adaptation to retail industry shifts. However, these are incremental evolutionary pivots — the company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Rosenfeld demonstrated meaningful courage with the ~$500M Kurt Geiger acquisition, a transformative bet that temporarily depressed earnings. The decision to absorb tariff impacts and now raise FY2026 guidance to 10-12% revenue growth with EPS of $2.55-$2.65 shows strategic confidence [1]. However, the fashion industry's quarterly trend cycle creates inherent short-term pressure that limits opportunities for truly courageous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Steven Madden delivered a breakout Q1 2026 with revenue of $653.1M (up 18%), gross margin expanding dramatically from 40.9% to 54.7%, and net income surging 77.7% to $71.8M ($1.00 EPS vs $0.57 prior year) [1]. Management raised FY2026 guidance to 10-12% revenue growth with diluted EPS of $2.55-$2.65, signaling strong earnings normalization from the tariff-depressed FY2025 base. At 18.66x forward P/E, the stock is attractively valued relative to the 5-year revenue CAGR of 16.08% and multi-brand platform growth potential. The Kurt Geiger integration is clearly succeeding, with 'continued momentum across channels,' and the Steve Madden brand is gaining share through 'strong comps in DTC and robust sell-through in wholesale' [1]. The conservative balance sheet (D/E 54%) and 2.15% dividend yield provide downside protection.</w:t>
      </w:r>
    </w:p>
    <w:p>
      <w:pPr>
        <w:spacing w:after="120"/>
      </w:pPr>
      <w:r>
        <w:rPr>
          <w:rFonts w:ascii="Calibri" w:hAnsi="Calibri"/>
          <w:b w:val="0"/>
          <w:color w:val="3A4A28"/>
          <w:sz w:val="20"/>
        </w:rPr>
        <w:t>The bear case centers on the sustainability of the margin recovery and structural fashion industry risks. TTM profit margin of 1.76% and ROE of 5.51% remain severely depressed, and the path from depressed trailing EPS (~$1.04) to the guided $2.55-$2.65 requires continued gross margin improvement and operating leverage that tariff volatility could disrupt [1]. The dividend has been flat at $0.84/year since 2022, and the 81% TTM payout ratio is unsustainable until earnings fully normalize. Net insider selling ($1.1M reduction in holdings) undermines confidence that management sees deep value at current levels [4]. The fashion footwear industry faces structural headwinds from casualization trends, digital-native DTC competitors, and potential AI-driven disruption in trend forecasting. Glassdoor rating of 3.2/5.0 suggests employee engagement challenges that could impact execution as the company scales internationally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from FY2025 tariff trough — management guides $2.55-$2.65 EPS for FY2026 vs ~$1.04 TTM, representing a potential 150%+ earnings recovery [1]</w:t>
      </w:r>
    </w:p>
    <w:p>
      <w:pPr>
        <w:spacing w:before="40" w:after="40"/>
        <w:ind w:left="283"/>
      </w:pPr>
      <w:r>
        <w:rPr>
          <w:rFonts w:ascii="Calibri" w:hAnsi="Calibri"/>
          <w:b/>
          <w:color w:val="4A6B25"/>
          <w:sz w:val="20"/>
        </w:rPr>
        <w:t xml:space="preserve">2. </w:t>
      </w:r>
      <w:r>
        <w:rPr>
          <w:rFonts w:ascii="Calibri" w:hAnsi="Calibri"/>
          <w:b w:val="0"/>
          <w:color w:val="3A4A28"/>
          <w:sz w:val="20"/>
        </w:rPr>
        <w:t>Kurt Geiger international expansion driving continued double-digit DTC growth and improving revenue mix toward higher-margin direct channels [1]</w:t>
      </w:r>
    </w:p>
    <w:p>
      <w:pPr>
        <w:spacing w:before="40" w:after="40"/>
        <w:ind w:left="283"/>
      </w:pPr>
      <w:r>
        <w:rPr>
          <w:rFonts w:ascii="Calibri" w:hAnsi="Calibri"/>
          <w:b/>
          <w:color w:val="4A6B25"/>
          <w:sz w:val="20"/>
        </w:rPr>
        <w:t xml:space="preserve">3. </w:t>
      </w:r>
      <w:r>
        <w:rPr>
          <w:rFonts w:ascii="Calibri" w:hAnsi="Calibri"/>
          <w:b w:val="0"/>
          <w:color w:val="3A4A28"/>
          <w:sz w:val="20"/>
        </w:rPr>
        <w:t>Gross margin recovery sustaining above 50% (Q1 2026: 54.7% vs 40.9% prior year) as tariff headwinds abate and product mix shifts toward higher-margin brands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re-escalation risk on footwear imports from China and Vietnam could reverse the Q1 2026 gross margin recovery and compress the guided $2.55-$2.65 EPS range [1]</w:t>
      </w:r>
    </w:p>
    <w:p>
      <w:pPr>
        <w:spacing w:before="40" w:after="40"/>
        <w:ind w:left="283"/>
      </w:pPr>
      <w:r>
        <w:rPr>
          <w:rFonts w:ascii="Calibri" w:hAnsi="Calibri"/>
          <w:b/>
          <w:color w:val="4A6B25"/>
          <w:sz w:val="20"/>
        </w:rPr>
        <w:t xml:space="preserve">2. </w:t>
      </w:r>
      <w:r>
        <w:rPr>
          <w:rFonts w:ascii="Calibri" w:hAnsi="Calibri"/>
          <w:b w:val="0"/>
          <w:color w:val="3A4A28"/>
          <w:sz w:val="20"/>
        </w:rPr>
        <w:t>Fashion trend risk — the Steve Madden brand targets trend-sensitive consumers who can shift quickly to competitors, and AI-driven trend forecasting could erode the company's speed-to-market advantage [2]</w:t>
      </w:r>
    </w:p>
    <w:p>
      <w:pPr>
        <w:spacing w:before="40" w:after="40"/>
        <w:ind w:left="283"/>
      </w:pPr>
      <w:r>
        <w:rPr>
          <w:rFonts w:ascii="Calibri" w:hAnsi="Calibri"/>
          <w:b/>
          <w:color w:val="4A6B25"/>
          <w:sz w:val="20"/>
        </w:rPr>
        <w:t xml:space="preserve">3. </w:t>
      </w:r>
      <w:r>
        <w:rPr>
          <w:rFonts w:ascii="Calibri" w:hAnsi="Calibri"/>
          <w:b w:val="0"/>
          <w:color w:val="3A4A28"/>
          <w:sz w:val="20"/>
        </w:rPr>
        <w:t>Flat dividend ($0.84/year since 2022) with 81% TTM payout ratio signals income quality concerns until earnings fully normalize to guided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Steve Madden's core business — designing, sourcing, and marketing physical footwear and accessories — involves tangible products, complex global supply chains, and brand-driven consumer purchasing decisions that AI cannot structurally displace [2]. Fashion footwear requires physical manufacturing, retail distribution, and tactile consumer evaluation. The brand's value proposition depends on cultural relevance and design aesthetics that remain human-driven. However, AI-powered trend forecasting could erode Steve Madden's 'fast-fashion' speed advantage by enabling competitors to match trend cycles, and AI-driven shopping agents may shift consumer discovery from brand loyalty toward algorithmic recommendations, compressing brand premiums. AI Opportunity (0/1): The Fast Simon partnership and AI-optimized product pages are defensive investments in digital discoverability, not revenue-generating AI products. No quantifiable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Steve Madden Q1 2026 Earnings Release — $653.1M revenue, 18% growth, 54.7% gross margin, raised FY2026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Consumer Goods Technology / Glassdoor — Steve Madden AI strategy, Fast Simon partnership, employee reviews (3.2/5.0),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Sustainable Apparel Coalition / Steve Madden Sustainability Report — 'Let's Get Real' strategy, ESG Risk Rating 17.8,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FinanceCharts — SHOO key statistics, insider transactions, 5yr revenue CAGR 16.08%,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