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SKE</w:t>
      </w:r>
      <w:r>
        <w:rPr>
          <w:rFonts w:ascii="Calibri" w:hAnsi="Calibri"/>
          <w:b/>
          <w:color w:val="1A2010"/>
          <w:sz w:val="40"/>
        </w:rPr>
        <w:t xml:space="preserve">  Skeena Resources Limited</w:t>
      </w:r>
    </w:p>
    <w:p>
      <w:pPr>
        <w:spacing w:after="120"/>
      </w:pPr>
      <w:r>
        <w:rPr>
          <w:rFonts w:ascii="Calibri" w:hAnsi="Calibri"/>
          <w:b/>
          <w:color w:val="6E8450"/>
          <w:sz w:val="18"/>
        </w:rPr>
        <w:t>GROWTH SLEEVE · 2026-08-08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Mining · NYSE · Canada</w:t>
      </w:r>
    </w:p>
    <w:p>
      <w:pPr>
        <w:spacing w:after="80"/>
      </w:pPr>
      <w:r>
        <w:rPr>
          <w:rFonts w:ascii="Calibri" w:hAnsi="Calibri"/>
          <w:b w:val="0"/>
          <w:color w:val="3A4A28"/>
          <w:sz w:val="20"/>
        </w:rPr>
        <w:t>Skeena Resources Limited (recently rebranded as Skeena Gold + Silver) is a precious metals developer focused on advancing the Eskay Creek Gold-Silver Project, a past-producing mine in British Columbia's Golden Triangle. Eskay Creek is positioned as one of the highest-grade and lowest-cost open-pit precious metals projects globally, with substantial silver by-product production. The company also holds the Snip gold project. Skeena secured environmental assessment approval for Eskay Creek in January 2026 and is transitioning from development to construction phase.</w:t>
      </w:r>
    </w:p>
    <w:p>
      <w:r>
        <w:rPr>
          <w:rFonts w:ascii="Calibri" w:hAnsi="Calibri"/>
          <w:b/>
          <w:color w:val="6E8450"/>
          <w:sz w:val="18"/>
        </w:rPr>
        <w:t>250 Employees · https://skeenagoldsilver.com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Skeena successfully advanced Eskay Creek from a historical mine site to a fully permitted, construction-ready project, securing both BC provincial and federal Impact Assessment approval in January 2026 — a multi-year regulatory achievement [1][3]. However, this represents project development execution rather than product innovation or business model transformation. AI Deployment (0/2): The company has stated it is 'evaluating the potential use of machine learning and artificial intelligence in future exploration programs,' but no AI products are shipping or generating measurable results [2]. Market Share (0/2): Skeena is a pre-production developer with no market share in gold production. The company has not yet poured its first gold bar [1]. Product Pipeline (1/2): Eskay Creek offers specific production visibility — one of the highest-grade open-pit gold-silver projects globally with construction now advancing toward first production, though exact commissioning dates are not publicly confirmed [1][3]. R&amp;D Intensity (0/1): Exploration and development spending is standard for a junior mining company; no differentiated R&amp;D investment beyond typical geological and metallurgical studies.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Skeena's stated values emphasize responsible resource development, innovation, and partnership with Indigenous communities. The company frames Eskay Creek as a low-carbon, high-ESG-standard project — a clear purpose but common among modern mining developers [3]. Community Impact (2/2): Skeena is pursuing the first consent-based agreement with the Tahltan Nation under British Columbia's Declaration on the Rights of Indigenous Peoples Act (DRIPA) — a genuinely distinctive and pioneering approach to Indigenous partnership that goes beyond industry norms [3]. The company designed Eskay Creek for low-carbon operations with access to hydropower, projecting GHG emissions in the lowest quartile among global gold producers. Employee Retention (0/2): No specific retention or tenure data available for a company of approximately 250 employees in the development stage. Insider Buying (0/2): No evidence of meaningful net insider buying identified; the company recently reshaped its leadership team and board, with new director Nathalie Sajous (ex-Google/Microsoft) added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Skeena is a pre-revenue mining developer with negative TTM EPS of -$1.50 USD and net income of -C$103M, scoring 0 on ROE and profit margin [4]. D/E of 36% (C$65M debt / C$180M equity) is healthy for a development-stage miner and scores at target [4]. Forward P/E of 37.56 reflects the market pricing in future Eskay Creek production but scores poorly against the 20 floor. Revenue is de minimis (~C$750K/quarter from minor operations), making revenue growth metrics not meaningful for a pre-production company. Total liabilities of C$952M include significant asset retirement obligations and construction-related payables typical of a mine entering the build phase [4]. Market cap of $4.03B USD represents optionality on Eskay Creek's future production rather than current financial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Skeena is a single-asset mining developer too early in its lifecycle to demonstrate meaningful infinite game characteristics. The company's strategic focus is appropriately singular — advance Eskay Creek to production — which reads as finite in Sinek's framework: the company exists to execute a specific project rather than to advance a cause that outlasts any single mine. The pioneering Indigenous partnership approach is a bright spot, but the company has not yet faced the strategic tests (leadership transitions, market crises, business model pivots) that reveal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Skeena articulates values around responsible resource development and Indigenous partnership, and the consent-based Tahltan agreement is distinctive [3]. However, the company's purpose is fundamentally tied to extracting value from a single geological deposit. When Eskay Creek is mined out, the Just Cause is tested — does the company exist to responsibly develop resources, or to mine this specific deposit? The single-project nature makes the cause feel finite.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recently underwent significant leadership changes, reshaping its management team and board composition [2]. While this could signal healthy evolution, the frequency of changes at a ~250-person company in a critical development phase introduces organizational instability. Insufficient public data on employee culture, retention, or internal trust dynamics for a private-by-nature mining developer.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Skeena's leadership discussing competitors in the context of learning or self-improvement. As a single-asset developer, competitive language is minimal — the company's challenge is geological and regulatory execution, not outcompeting rivals in a market.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Skeena is a single-project developer that has not yet faced an existential strategic test. The company acquired and advanced Eskay Creek, which represents smart project selection, but it has not demonstrated the willingness or ability to fundamentally reinvent itself. Too early in its lifecycle to evaluate this dimension meaningfully.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the first consent-based agreement under BC's DRIPA with the Tahltan Nation — rather than pursuing a faster, regulatory-minimum approach to permitting — demonstrates willingness to invest time and relationship capital in long-term social license [3]. Designing for lowest-quartile GHG emissions using hydropower access shows environmental conviction beyond minimum compliance. However, these decisions also serve the practical purpose of securing the project's social license and long-term operability.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Skeena Resources holds one of the highest-grade open-pit gold-silver projects globally in Eskay Creek, which secured full environmental permitting in January 2026 and is now advancing through construction with C$294M in capex deployed in FY2025 [1][4]. At $32.54/share ($4.03B market cap), the stock has rallied 124% over the past year as permitting risk has been eliminated and gold prices have been strong. The company has a relatively clean balance sheet with only C$65M in debt against C$180M equity, though free cash flow is deeply negative (-C$373M TTM) as expected for a mine under construction [4]. The consent-based Tahltan Nation partnership and lowest-quartile GHG design provide social license advantages that de-risk operations. Analyst projections show earnings turning positive with 108.7% annual EPS growth expected as Eskay Creek reaches production.</w:t>
      </w:r>
    </w:p>
    <w:p>
      <w:pPr>
        <w:spacing w:after="120"/>
      </w:pPr>
      <w:r>
        <w:rPr>
          <w:rFonts w:ascii="Calibri" w:hAnsi="Calibri"/>
          <w:b w:val="0"/>
          <w:color w:val="3A4A28"/>
          <w:sz w:val="20"/>
        </w:rPr>
        <w:t>The bear case centers on execution and financing risk. Skeena has never operated a producing mine at scale, and capital cost overruns are endemic in mining — the C$337M TTM capex spend is accelerating and total project costs may exceed initial estimates [4]. Cash on hand of only C$43M against a major construction program suggests additional equity or debt financing will be needed, diluting existing shareholders. The Forward P/E of 37.56 prices in successful execution with no margin for delays or cost overruns. Gold price sensitivity is extreme — a sustained drop below $1,800/oz would severely impair project economics. The stock's beta of 2.24 reflects high volatility appropriate for a pre-production miner. With zero revenue, negative cash flow, and a single-asset concentration in a remote Canadian location subject to weather, permitting, and Indigenous relations risk, this is a speculative position dependent on flawless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Eskay Creek construction milestones and first gold pour timeline — any production acceleration would validate the $4B market cap and potentially trigger re-rating toward producer multiples</w:t>
      </w:r>
    </w:p>
    <w:p>
      <w:pPr>
        <w:spacing w:before="40" w:after="40"/>
        <w:ind w:left="283"/>
      </w:pPr>
      <w:r>
        <w:rPr>
          <w:rFonts w:ascii="Calibri" w:hAnsi="Calibri"/>
          <w:b/>
          <w:color w:val="4A6B25"/>
          <w:sz w:val="20"/>
        </w:rPr>
        <w:t xml:space="preserve">2. </w:t>
      </w:r>
      <w:r>
        <w:rPr>
          <w:rFonts w:ascii="Calibri" w:hAnsi="Calibri"/>
          <w:b w:val="0"/>
          <w:color w:val="3A4A28"/>
          <w:sz w:val="20"/>
        </w:rPr>
        <w:t>Sustained gold price strength above $2,000/oz enhances Eskay Creek's projected economics as one of the lowest-cost open-pit gold mines globally, with high-grade ore providing margin cushion</w:t>
      </w:r>
    </w:p>
    <w:p>
      <w:pPr>
        <w:spacing w:before="40" w:after="40"/>
        <w:ind w:left="283"/>
      </w:pPr>
      <w:r>
        <w:rPr>
          <w:rFonts w:ascii="Calibri" w:hAnsi="Calibri"/>
          <w:b/>
          <w:color w:val="4A6B25"/>
          <w:sz w:val="20"/>
        </w:rPr>
        <w:t xml:space="preserve">3. </w:t>
      </w:r>
      <w:r>
        <w:rPr>
          <w:rFonts w:ascii="Calibri" w:hAnsi="Calibri"/>
          <w:b w:val="0"/>
          <w:color w:val="3A4A28"/>
          <w:sz w:val="20"/>
        </w:rPr>
        <w:t>Completion of the consent-based Tahltan Nation agreement — first of its kind under BC's DRIPA — would set a precedent and further de-risk the project's social license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 cost overruns during construction — mining projects frequently exceed initial estimates by 20-40%, and with only C$43M cash remaining, additional dilutive financing is likely required</w:t>
      </w:r>
    </w:p>
    <w:p>
      <w:pPr>
        <w:spacing w:before="40" w:after="40"/>
        <w:ind w:left="283"/>
      </w:pPr>
      <w:r>
        <w:rPr>
          <w:rFonts w:ascii="Calibri" w:hAnsi="Calibri"/>
          <w:b/>
          <w:color w:val="4A6B25"/>
          <w:sz w:val="20"/>
        </w:rPr>
        <w:t xml:space="preserve">2. </w:t>
      </w:r>
      <w:r>
        <w:rPr>
          <w:rFonts w:ascii="Calibri" w:hAnsi="Calibri"/>
          <w:b w:val="0"/>
          <w:color w:val="3A4A28"/>
          <w:sz w:val="20"/>
        </w:rPr>
        <w:t>Single-asset concentration in a remote northern BC location exposes the company to weather delays, supply chain disruptions, and the risk that any Eskay Creek-specific issue (geological, environmental, community relations) impacts the entire enterprise value</w:t>
      </w:r>
    </w:p>
    <w:p>
      <w:pPr>
        <w:spacing w:before="40" w:after="40"/>
        <w:ind w:left="283"/>
      </w:pPr>
      <w:r>
        <w:rPr>
          <w:rFonts w:ascii="Calibri" w:hAnsi="Calibri"/>
          <w:b/>
          <w:color w:val="4A6B25"/>
          <w:sz w:val="20"/>
        </w:rPr>
        <w:t xml:space="preserve">3. </w:t>
      </w:r>
      <w:r>
        <w:rPr>
          <w:rFonts w:ascii="Calibri" w:hAnsi="Calibri"/>
          <w:b w:val="0"/>
          <w:color w:val="3A4A28"/>
          <w:sz w:val="20"/>
        </w:rPr>
        <w:t>Forward P/E of 37.56 and $4B market cap for a company with no revenue and -C$103M net income means any execution delay or gold price weakness could trigger severe multiple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and silver mining is fundamentally a physical-world operation — extracting ore from the earth, processing it through mills, and producing refined metals. AI cannot substitute for geological deposits, heavy equipment operations, or the physical infrastructure required to operate an open-pit mine in northern British Columbia. The core value proposition (high-grade gold-silver deposits) is geologically determined and AI-irrelevant [1]. Regulatory permitting, Indigenous partnerships, and environmental compliance add layers of complexity that are structurally resistant to AI displacement. AI may enhance exploration targeting and operational efficiency but cannot replace the physical mining operation itself. AI Opportunity (0/1): The company has discussed evaluating machine learning for exploration programs but has no AI products or AI-attributable revenue. Pre-production status means no operational AI deployment to date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Skeena Resources Eskay Creek Environmental Assessment Approval — Mining-Technology.com, January 2026</w:t>
      </w:r>
    </w:p>
    <w:p>
      <w:pPr>
        <w:spacing w:before="20" w:after="20"/>
        <w:ind w:left="170"/>
      </w:pPr>
      <w:r>
        <w:rPr>
          <w:rFonts w:ascii="Calibri" w:hAnsi="Calibri"/>
          <w:b/>
          <w:color w:val="4A6B25"/>
          <w:sz w:val="15"/>
        </w:rPr>
        <w:t xml:space="preserve">2. </w:t>
      </w:r>
      <w:r>
        <w:rPr>
          <w:rFonts w:ascii="Calibri" w:hAnsi="Calibri"/>
          <w:b w:val="0"/>
          <w:color w:val="3A4A28"/>
          <w:sz w:val="17"/>
        </w:rPr>
        <w:t>Skeena Gold &amp; Silver AGM Results and Management Changes — StockTitan / TipRanks, 2026</w:t>
      </w:r>
    </w:p>
    <w:p>
      <w:pPr>
        <w:spacing w:before="20" w:after="20"/>
        <w:ind w:left="170"/>
      </w:pPr>
      <w:r>
        <w:rPr>
          <w:rFonts w:ascii="Calibri" w:hAnsi="Calibri"/>
          <w:b/>
          <w:color w:val="4A6B25"/>
          <w:sz w:val="15"/>
        </w:rPr>
        <w:t xml:space="preserve">3. </w:t>
      </w:r>
      <w:r>
        <w:rPr>
          <w:rFonts w:ascii="Calibri" w:hAnsi="Calibri"/>
          <w:b w:val="0"/>
          <w:color w:val="3A4A28"/>
          <w:sz w:val="17"/>
        </w:rPr>
        <w:t>Skeena Resources Inaugural ESG Report and Indigenous Partnership — Mining.com / Company Website,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SKE Financial Statements and Balance Sheet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SKE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