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SOLV</w:t>
      </w:r>
      <w:r>
        <w:rPr>
          <w:rFonts w:ascii="Calibri" w:hAnsi="Calibri"/>
          <w:b/>
          <w:color w:val="1A2010"/>
          <w:sz w:val="40"/>
        </w:rPr>
        <w:t xml:space="preserve">  Solventum Corporation</w:t>
      </w:r>
    </w:p>
    <w:p>
      <w:pPr>
        <w:spacing w:after="120"/>
      </w:pPr>
      <w:r>
        <w:rPr>
          <w:rFonts w:ascii="Calibri" w:hAnsi="Calibri"/>
          <w:b/>
          <w:color w:val="6E8450"/>
          <w:sz w:val="18"/>
        </w:rPr>
        <w:t>GROWTH SLEEVE · 2026-08-07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NYSE · United States</w:t>
      </w:r>
    </w:p>
    <w:p>
      <w:pPr>
        <w:spacing w:after="80"/>
      </w:pPr>
      <w:r>
        <w:rPr>
          <w:rFonts w:ascii="Calibri" w:hAnsi="Calibri"/>
          <w:b w:val="0"/>
          <w:color w:val="3A4A28"/>
          <w:sz w:val="20"/>
        </w:rPr>
        <w:t>Solventum develops, manufactures, and commercializes healthcare solutions across three segments: Medsurg (wound care, surgical supplies, sterilization), Dental Solutions (brackets, aligners, restorative products), and Health Information Systems (coding automation, speech recognition, clinical documentation software). Spun off from 3M in April 2024 under CEO Bryan Hanson, the company is now separating its ~$1.4B Health Information Systems unit via spin-off, sale, or merger to sharpen its focus as a pure-play Medsurg-and-dental medtech company.</w:t>
      </w:r>
    </w:p>
    <w:p>
      <w:r>
        <w:rPr>
          <w:rFonts w:ascii="Calibri" w:hAnsi="Calibri"/>
          <w:b/>
          <w:color w:val="6E8450"/>
          <w:sz w:val="18"/>
        </w:rPr>
        <w:t>22,000 Employees · https://www.solventum.com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Beyond the April 2024 spin-off from 3M, Solventum announced in 2026 that it will separate its ~$1.4B Health Information Systems business via spin-off, sale, or merger to sharpen focus as a pure-play medtech company — a significant portfolio restructuring under CEO Bryan Hanson that has coincided with raised full-year guidance for four consecutive quarters [1]. AI Deployment (1/2): Under Hanson, Solventum has hired AI scientists, partnered with academic research labs, and is piloting next-gen antimicrobial biosurfaces, robotic catheter systems, and predictive post-operative analytics — real initiatives named with specificity, though not yet shipping at scale or with quantified savings [2]. Market Share (1/2): Solventum holds durable, stable positions in wound care, surgical tape, and dental restorative products (legacy 3M brands) but is not gaining share aggressively; Q2 2026 organic growth of 9.5% reflects volume/mix and pre-ERP-cutover ordering rather than share gains [1]. Pipeline (1/2): Named initiatives (robotic catheter systems, predictive post-op analytics, antimicrobial biosurfaces) provide some forward visibility but lack specific launch dates or revenue targets [2]. R&amp;D Intensity (0/1): No confirmed above-industry-average R&amp;D spend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Solventum's stated purpose — 'enabling better, smarter, safer healthcare to improve lives,' summarized as 'we never stop solving for you' — is clear and healthcare-specific but reads as standard medtech messaging rather than a distinctive, transformative vision [2]. Community Impact (0/2): No distinctive charitable programs or community investment specific to Solventum (as opposed to legacy 3M initiatives) were found in research. Employee Retention (1/2): Hanson is described as a 'culture-driven CEO' who previously rebuilt trust and engagement at Zimmer Biomet, and is credited with hiring world-class talent and overhauling Solventum's innovation engine — qualitative evidence of culture investment, though no hard tenure/turnover data exists for the ~2-year-old standalone company [2]. Insider Buying (0/2): No evidence of meaningful net insider buying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(no dividend). ROE of 33.96% and Forward P/E of 12.22 both clear their targets (score 1.0 each, ROE at 2x weight) [4]. PEG of 1.14 (2x weight) is near the 1.0 target, scoring 0.93. Profit margin of 17.26% scores 0.86 against the 20% target. D/E of 110% — reflecting debt inherited from the 3M spin-off — scores 0.83 against the 70% target/300% floor. Revenue growth YoY of -0.93% (TTM, reflecting SKU exits) scores 0.70 against the 10% target/-20% floor; management's raised FY2026 organic growth guidance of 2.5-3% (3.5-4% excluding SKU exits) is not yet reflected in trailing GAAP figures [1][4]. 5-year revenue CAGR is not available given the April 2024 spin-off. Liquidity floor cleared by a wide margin: 2.36M avg volume x $82.96 = ~$195M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Solventum is a young standalone company (spun off from 3M in April 2024) still defining its own identity, now further narrowing itself by separating its Health Information Systems unit. CEO Hanson's culture-focused leadership and willingness to shed a $1.4B business for strategic clarity show some infinite-game instincts, but with barely two years of independent operating history and no fully validated multi-cycle purpose, the company has not yet earned a higher score under Sinek's endurance test.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Solventum's purpose — 'enabling better, smarter, safer healthcare' — is a clear healthcare mission built on decades of legacy 3M product lines (Tegaderm, dental restoratives), but as a company that has existed independently for barely two years, it has not yet demonstrated the multi-decade consistency Sinek requires to call this a validated Just Cause rather than a well-written purpose statement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Hanson is recognized for culture-centric leadership, credited with hiring world-class AI talent and overhauling the innovation process, drawing on a track record of rebuilding trust and engagement at Zimmer Biomet [2]. However, the concurrent divestiture of the Health Information Systems unit creates uncertainty for that segment's employees, and no hard retention data exists yet for the newly independent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explicit evidence was found of Solventum publicly framing competitors (Medline, Smith &amp; Nephew, Microsoft/Nuance) as sources of learning rather than targets to beat; available commentary focuses on portfolio execution and margin targets rather than competitive philosophy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Separating from 3M in 2024 and now further separating the Health Information Systems business to become a focused Medsurg-and-dental company are real, costly portfolio reshaping moves, but they remain incremental restructuring of an inherited business rather than a transformative reinvention of what the company fundamentally does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Choosing to separate a ~$1.4B revenue Health Information Systems business — sacrificing scale and diversification — to sharpen strategic focus, while simultaneously managing inherited 3M debt and PFAS litigation exposure, reflects a real, costly strategic choice rather than an easy one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Solventum trades at a deeply discounted 12.22x forward P/E with ROE of 33.96% and a 10.13x trailing P/E, well below typical medtech peer multiples [4]. Q2 2026 results showed 9.5% organic growth to $2.21B in sales, prompting management to raise full-year adjusted EPS guidance to $7.10-$7.20 (from $6.40-$6.60) and lift organic growth guidance to 2.5-3% (3.5-4% excluding SKU exits) [1]. The planned separation of the ~$1.4B Health Information Systems business is designed to unlock shareholder value and let the remaining Medsurg-and-dental business trade as a focused, higher-margin medtech pure play, while CEO Bryan Hanson's turnaround credentials (Zimmer Biomet) and 'anticipatory acceleration' philosophy — including new investment in AI scientists and robotic catheter/predictive-analytics pilots — support a credible margin-expansion narrative [1][2].</w:t>
      </w:r>
    </w:p>
    <w:p>
      <w:pPr>
        <w:spacing w:after="120"/>
      </w:pPr>
      <w:r>
        <w:rPr>
          <w:rFonts w:ascii="Calibri" w:hAnsi="Calibri"/>
          <w:b w:val="0"/>
          <w:color w:val="3A4A28"/>
          <w:sz w:val="20"/>
        </w:rPr>
        <w:t>The bear case centers on legacy liabilities and unproven independence. D/E of 110% reflects debt inherited from the 3M spin-off, and Solventum carries real PFAS ('forever chemicals') litigation exposure, including a federal lawsuit by 12 states seeking up to $2B in penalties and cleanup costs near Ohio, Michigan, and Pennsylvania plants, plus an EPA-driven $50M water-treatment upgrade requirement — inherited risk from 3M's manufacturing history that is only partially addressed by 3M's broader PFAS settlement [3]. TTM revenue growth is roughly flat to slightly negative as SKU exits and ERP-cutover timing distort reported figures, and the company has only about two years of standalone operating history, making its Just Cause, culture, and capital-allocation discipline still largely unproven through a full economic cycle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separation of the Health Information Systems business (spin-off, sale, or merger) could unlock value for the remaining focused Medsurg-and-dental platform and re-rate the stock closer to medtech peer multiples [1]</w:t>
      </w:r>
    </w:p>
    <w:p>
      <w:pPr>
        <w:spacing w:before="40" w:after="40"/>
        <w:ind w:left="283"/>
      </w:pPr>
      <w:r>
        <w:rPr>
          <w:rFonts w:ascii="Calibri" w:hAnsi="Calibri"/>
          <w:b/>
          <w:color w:val="4A6B25"/>
          <w:sz w:val="20"/>
        </w:rPr>
        <w:t xml:space="preserve">2. </w:t>
      </w:r>
      <w:r>
        <w:rPr>
          <w:rFonts w:ascii="Calibri" w:hAnsi="Calibri"/>
          <w:b w:val="0"/>
          <w:color w:val="3A4A28"/>
          <w:sz w:val="20"/>
        </w:rPr>
        <w:t>Continued organic growth acceleration (9.5% in Q2 2026) sustaining above-guidance performance would validate the 'Transform for the Future' margin expansion narrative under Hanson [1]</w:t>
      </w:r>
    </w:p>
    <w:p>
      <w:pPr>
        <w:spacing w:before="40" w:after="40"/>
        <w:ind w:left="283"/>
      </w:pPr>
      <w:r>
        <w:rPr>
          <w:rFonts w:ascii="Calibri" w:hAnsi="Calibri"/>
          <w:b/>
          <w:color w:val="4A6B25"/>
          <w:sz w:val="20"/>
        </w:rPr>
        <w:t xml:space="preserve">3. </w:t>
      </w:r>
      <w:r>
        <w:rPr>
          <w:rFonts w:ascii="Calibri" w:hAnsi="Calibri"/>
          <w:b w:val="0"/>
          <w:color w:val="3A4A28"/>
          <w:sz w:val="20"/>
        </w:rPr>
        <w:t>AI-adjacent pilots (robotic catheter systems, predictive post-operative analytics, antimicrobial biosurfaces) reaching commercialization could open new, higher-margin revenue lines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PFAS litigation exposure inherited from 3M — including a 12-state federal lawsuit seeking up to $2B in penalties and cleanup costs, and EPA-driven $50M water-treatment upgrade requirements — creates open-ended legal and regulatory cost risk [3]</w:t>
      </w:r>
    </w:p>
    <w:p>
      <w:pPr>
        <w:spacing w:before="40" w:after="40"/>
        <w:ind w:left="283"/>
      </w:pPr>
      <w:r>
        <w:rPr>
          <w:rFonts w:ascii="Calibri" w:hAnsi="Calibri"/>
          <w:b/>
          <w:color w:val="4A6B25"/>
          <w:sz w:val="20"/>
        </w:rPr>
        <w:t xml:space="preserve">2. </w:t>
      </w:r>
      <w:r>
        <w:rPr>
          <w:rFonts w:ascii="Calibri" w:hAnsi="Calibri"/>
          <w:b w:val="0"/>
          <w:color w:val="3A4A28"/>
          <w:sz w:val="20"/>
        </w:rPr>
        <w:t>D/E of 110% from spin-off-related debt constrains capital allocation flexibility during a period when the company is simultaneously trying to fund AI/innovation investment and execute a major divestiture [1][4]</w:t>
      </w:r>
    </w:p>
    <w:p>
      <w:pPr>
        <w:spacing w:before="40" w:after="40"/>
        <w:ind w:left="283"/>
      </w:pPr>
      <w:r>
        <w:rPr>
          <w:rFonts w:ascii="Calibri" w:hAnsi="Calibri"/>
          <w:b/>
          <w:color w:val="4A6B25"/>
          <w:sz w:val="20"/>
        </w:rPr>
        <w:t xml:space="preserve">3. </w:t>
      </w:r>
      <w:r>
        <w:rPr>
          <w:rFonts w:ascii="Calibri" w:hAnsi="Calibri"/>
          <w:b w:val="0"/>
          <w:color w:val="3A4A28"/>
          <w:sz w:val="20"/>
        </w:rPr>
        <w:t>Only about two years of standalone operating history means Solventum's culture, capital discipline, and strategic consistency remain largely unproven through a full business cycle, and the HIS divestiture could distract management execution in the near term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Solventum's core Medsurg (wound care, surgical tape, sterilization) and Dental Solutions businesses involve physical, regulated medical consumables that AI cannot substitute — hospitals and dental practices will continue needing dressings, tapes, and restorative materials regardless of AI progress [1]. The Health Information Systems segment being separated (coding automation, clinical documentation) faces more direct AI-driven competitive pressure from Microsoft/Nuance, Google Health, and Epic's integrated AI tools, but its planned exit reduces Solventum's residual exposure to that risk [1]. AI Opportunity (0/1): Hanson has directed hiring of AI scientists and is piloting AI-adjacent initiatives (robotic catheter systems, predictive post-operative analytics), but no quantified AI-related revenue was found yet — these remain pilots rather than monetized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Solventum Q2 2026 Earnings Release and Call — Organic Growth, Raised Guidance, Health Information Systems Separation, August 2026</w:t>
      </w:r>
    </w:p>
    <w:p>
      <w:pPr>
        <w:spacing w:before="20" w:after="20"/>
        <w:ind w:left="170"/>
      </w:pPr>
      <w:r>
        <w:rPr>
          <w:rFonts w:ascii="Calibri" w:hAnsi="Calibri"/>
          <w:b/>
          <w:color w:val="4A6B25"/>
          <w:sz w:val="15"/>
        </w:rPr>
        <w:t xml:space="preserve">2. </w:t>
      </w:r>
      <w:r>
        <w:rPr>
          <w:rFonts w:ascii="Calibri" w:hAnsi="Calibri"/>
          <w:b w:val="0"/>
          <w:color w:val="3A4A28"/>
          <w:sz w:val="17"/>
        </w:rPr>
        <w:t>MDDI Online, Paragon Intel — Bryan Hanson Leadership Profile, AI Innovation Initiatives, Culture-Focused Turnaround Strategy, 2025-2026</w:t>
      </w:r>
    </w:p>
    <w:p>
      <w:pPr>
        <w:spacing w:before="20" w:after="20"/>
        <w:ind w:left="170"/>
      </w:pPr>
      <w:r>
        <w:rPr>
          <w:rFonts w:ascii="Calibri" w:hAnsi="Calibri"/>
          <w:b/>
          <w:color w:val="4A6B25"/>
          <w:sz w:val="15"/>
        </w:rPr>
        <w:t xml:space="preserve">3. </w:t>
      </w:r>
      <w:r>
        <w:rPr>
          <w:rFonts w:ascii="Calibri" w:hAnsi="Calibri"/>
          <w:b w:val="0"/>
          <w:color w:val="3A4A28"/>
          <w:sz w:val="17"/>
        </w:rPr>
        <w:t>PFAS Litigation Coverage — Morgan Lewis, AInvest, 12-State Federal Lawsuit and EPA Water Treatment Requirements,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SOLV Key Statistics, Financial Data, and Ratios,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