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SRE</w:t>
      </w:r>
      <w:r>
        <w:rPr>
          <w:rFonts w:ascii="Calibri" w:hAnsi="Calibri"/>
          <w:b/>
          <w:color w:val="1A2010"/>
          <w:sz w:val="40"/>
        </w:rPr>
        <w:t xml:space="preserve">  Sempra</w:t>
      </w:r>
    </w:p>
    <w:p>
      <w:pPr>
        <w:spacing w:after="120"/>
      </w:pPr>
      <w:r>
        <w:rPr>
          <w:rFonts w:ascii="Calibri" w:hAnsi="Calibri"/>
          <w:b/>
          <w:color w:val="6E8450"/>
          <w:sz w:val="18"/>
        </w:rPr>
        <w:t>DIVIDEND SLEEVE · 2026-09-01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United States</w:t>
      </w:r>
    </w:p>
    <w:p>
      <w:pPr>
        <w:spacing w:after="80"/>
      </w:pPr>
      <w:r>
        <w:rPr>
          <w:rFonts w:ascii="Calibri" w:hAnsi="Calibri"/>
          <w:b w:val="0"/>
          <w:color w:val="3A4A28"/>
          <w:sz w:val="20"/>
        </w:rPr>
        <w:t>Sempra is a Fortune 500 energy infrastructure company with approximately $110 billion in assets and 16,800 employees. Operating through regulated utilities SDG&amp;E and SoCalGas in California, Sempra Texas (majority owner of Oncor), and Sempra Infrastructure (LNG and clean energy), the company serves approximately 40 million consumers. FY2025 revenue was $13.7B. Sempra announced a record $65 billion capital plan through 2030 targeting 11% compound rate base growth and 7-9% long-term EPS growth.</w:t>
      </w:r>
    </w:p>
    <w:p>
      <w:r>
        <w:rPr>
          <w:rFonts w:ascii="Calibri" w:hAnsi="Calibri"/>
          <w:b/>
          <w:color w:val="6E8450"/>
          <w:sz w:val="18"/>
        </w:rPr>
        <w:t>16,800 Employees · https://www.sempra.com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Sempra delivered $13.7B in FY2025 revenue with Q2 2026 net income rising to $796M, driven by Oncor rate base growth and Sempra Infrastructure's LNG development [1][3]. However, revenue declined 3.9% in Q1 2026 YoY and grew only 1.6% on a trailing twelve-month basis, reflecting the slow-growth nature of regulated utilities. The company is an infrastructure builder, not a technology innovator. AI Deployment (1/2): Sempra leverages AI and next-generation technology to forecast weather, monitor power grid conditions, and predict potential infrastructure problems, enhancing reliability across its California utilities [6]. These are operational tools rather than revenue-generating innovations. Market Share (2/2): Sempra owns the dominant regulated utility franchise in Southern California through SDG&amp;E and SoCalGas, is the majority owner of Oncor (the largest transmission and distribution utility in Texas), and operates one of the largest LNG development platforms in North America [3]. Pipeline (1/2): The $65B capital plan through 2030 represents one of the most ambitious infrastructure buildouts in the utility sector, with Cameron LNG Phase 2, Port Arthur LNG, and significant transmission investments to support data center and electrification demand [7]. R&amp;D Intensity (1/1): Investing in grid modernization, renewable integration technology, and digital infrastructure monitoring, consistent with leading utility innovation spending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'Building modern energy networks' with a vision of serving North America's growing energy needs is clear and purpose-driven, connecting the company's operations to the energy transition and economic development, though it is not uniquely inspirational beyond the utility sector [3][6]. Community Impact (2/2): Sempra serves approximately 40 million consumers across California and Texas, has committed to net-zero GHG emissions by 2050, published comprehensive sustainability reports, and launched a Sustainable Financing Framework aligned with Green and Social Bond Principles [6]. CEO Martin's emphasis on 'energy access, reliability, and affordability' demonstrates genuine stakeholder orientation. Employee Retention (1/2): Glassdoor rating of 4.3/5 with strong marks for pay, benefits, and supportive leadership indicates above-average employee satisfaction [5]. Common positive themes include great compensation, collaborative culture, and job security. However, no specific tenure or turnover data distinguishes Sempra from peers. Insider Buying (1/2): CEO Martin's compensation is heavily equity-linked, aligning interests with long-term shareholders, though no significant open-market insider purchases have been prominently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81% is well below the 300% floor and close to the 70% target (score 0.95), reflecting conservative leverage for a regulated utility [4]. Forward P/E of 17.44 scores a perfect 1.0 at below the 20 target. ROE of 6.77% is modest for a capital-intensive utility (score 0.45), suppressed by the massive $110B asset base and regulatory lag [4]. Revenue grew 1.6% YoY (score 0.72) with a 5yr CAGR of approximately 3.8% (score 0.59), reflecting the regulated utility growth profile. Profit margin of 15.75% scores 0.79 [4]. Dividend metrics anchor the score: 27+ consecutive years of payment (score 1.0, 2x weight) and 23 consecutive years of growth (score 1.0), with a 5yr dividend growth CAGR of 4.12% (score 0.69, 2x weight). Payout ratio of 85% is elevated (score 0.25), though typical for regulated utilities. Daily dollar volume of approximately $325M provides exceptional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Sempra exemplifies infinite game thinking through its $65B capital investment plan through 2030, 23 consecutive years of dividend growth, and the strategic vision to build North America's premier energy infrastructure platform spanning regulated utilities, transmission, and LNG. CEO Jeffrey Martin has led a multi-year transformation from a regional California utility into a diversified energy infrastructure company with national and international reach. The company's net-zero 2050 commitment, massive capital redeployment toward electrification and LNG, and willingness to take decade-long development bets on infrastructure projects demonstrate genuine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Sempra's cause — providing safe, reliable, and affordable energy to approximately 40 million consumers while enabling the energy transition — is deeply lived through its operations and capital allocation [3][6]. The $65B capital plan, net-zero 2050 commitment, and Sustainable Financing Framework demonstrate purpose shaping multi-billion-dollar investment decisions. CEO Martin's articulation of 'building modern energy networks' connects daily operations to generational infrastructure needs. The cause is genuine and consequential but inherently tied to the utility model rather than a transcendent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4.3/5 across 213 reviews signals strong employee satisfaction, with common themes of supportive leadership, excellent pay and benefits, and a collaborative work environment [5]. CEO Martin has provided stable leadership, and the 16,800-person workforce operates across well-established utility cultures in California and Texas. However, no specific employee engagement scores, retention metrics, or cultural differentiation programs distinguish Sempra from top-tier utility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Sempra benchmarks against NextEra Energy (renewable leadership), Duke Energy (regulated utility scale), and Southern Company (integrated utility model) with a constructive competitive orientation [3]. The company's pivot into LNG infrastructure and data center power reflects learning from NextEra's first-mover advantage in renewables, and the Oncor investment was partly inspired by Berkshire Hathaway Energy's transmission strategy.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Sempra has undergone a fundamental strategic transformation over the past decade — from a regional California gas and electric utility to a diversified North American energy infrastructure platform encompassing regulated utilities, transmission (Oncor), LNG development (Cameron, Port Arthur), and clean energy infrastructure [3][7]. The $65B capital plan targeting 95% regulated earnings mix by 2030 represents another strategic pivot toward higher-quality, more predictable earnings. These are not incremental adjustments but fundamental reshapings of the company's identity and competitive positioning.</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Martin committed to a record $65B capital plan through 2030 — one of the largest in the utility industry — while maintaining 23 consecutive years of dividend growth and guiding to 7-9% long-term EPS growth [7]. The multi-billion-dollar bets on Port Arthur LNG and Cameron LNG Phase 2 required conviction in decade-long energy infrastructure demand at a time of significant policy uncertainty. The strategic pivot away from non-core businesses to focus on regulated infrastructure reflects disciplined boldness rather than reckless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Sempra offers a compelling blend of defensive utility characteristics and above-average growth potential, anchored by a record $65B capital investment plan through 2030 targeting 11% rate base CAGR and 7-9% EPS growth [7]. The company's regulated utility moat — serving 40 million consumers through SDG&amp;E, SoCalGas, and Oncor — provides highly visible, inflation-protected earnings, while Sempra Infrastructure's LNG development platform adds optionality to the energy export theme [1][3]. Oncor's positioning in Texas to capture data center and electrification-driven demand growth is a differentiated catalyst. With 23 consecutive years of dividend growth, a 2.88% yield, and forward P/E of 17.44, Sempra trades at a discount to utility peers while offering a superior growth profile. CEO Martin's strategic transformation from a regional utility to a national infrastructure platform demonstrates disciplined capital allocation over a multi-decade horizon.</w:t>
      </w:r>
    </w:p>
    <w:p>
      <w:pPr>
        <w:spacing w:after="120"/>
      </w:pPr>
      <w:r>
        <w:rPr>
          <w:rFonts w:ascii="Calibri" w:hAnsi="Calibri"/>
          <w:b w:val="0"/>
          <w:color w:val="3A4A28"/>
          <w:sz w:val="20"/>
        </w:rPr>
        <w:t>Bear case risks include the elevated trailing P/E of 28.5x, which reflects depressed near-term earnings from regulatory lag and investment cycle timing rather than permanent overvaluation [4]. The 85% payout ratio limits retained earnings for reinvestment, and the $65B capital plan requires significant external financing that could dilute shareholders or pressure credit metrics if interest rates remain elevated [7]. Revenue growth of just 1.6% YoY and 3.8% 5yr CAGR reflects the inherent slow-growth nature of regulated utilities, and ROE of 6.77% trails the 15% target meaningfully [4]. California regulatory risk remains a persistent overhang, with wildfire liability, rate case outcomes, and political uncertainty around energy policy. The Inspire Impact score of -49 (MISALIGNED) may deter faith-aligned investors despite the company's extensive positive ESG attributions across 20 categories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$65B capital plan driving 11% rate base CAGR through 2030, with Oncor capturing accelerating data center and electrification demand in Texas</w:t>
      </w:r>
    </w:p>
    <w:p>
      <w:pPr>
        <w:spacing w:before="40" w:after="40"/>
        <w:ind w:left="283"/>
      </w:pPr>
      <w:r>
        <w:rPr>
          <w:rFonts w:ascii="Calibri" w:hAnsi="Calibri"/>
          <w:b/>
          <w:color w:val="4A6B25"/>
          <w:sz w:val="20"/>
        </w:rPr>
        <w:t xml:space="preserve">2. </w:t>
      </w:r>
      <w:r>
        <w:rPr>
          <w:rFonts w:ascii="Calibri" w:hAnsi="Calibri"/>
          <w:b w:val="0"/>
          <w:color w:val="3A4A28"/>
          <w:sz w:val="20"/>
        </w:rPr>
        <w:t>Port Arthur LNG and Cameron LNG Phase 2 development milestones de-risking Sempra Infrastructure's growth platform and unlocking earnings visibility</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 24th consecutive annual increase expected in 2026 — supported by regulated earnings mix improving to 95% by 2030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California regulatory and wildfire liability risk — rate case outcomes, political intervention, and catastrophic event exposure could impair utility earnings and create capital calls</w:t>
      </w:r>
    </w:p>
    <w:p>
      <w:pPr>
        <w:spacing w:before="40" w:after="40"/>
        <w:ind w:left="283"/>
      </w:pPr>
      <w:r>
        <w:rPr>
          <w:rFonts w:ascii="Calibri" w:hAnsi="Calibri"/>
          <w:b/>
          <w:color w:val="4A6B25"/>
          <w:sz w:val="20"/>
        </w:rPr>
        <w:t xml:space="preserve">2. </w:t>
      </w:r>
      <w:r>
        <w:rPr>
          <w:rFonts w:ascii="Calibri" w:hAnsi="Calibri"/>
          <w:b w:val="0"/>
          <w:color w:val="3A4A28"/>
          <w:sz w:val="20"/>
        </w:rPr>
        <w:t>Elevated 85% payout ratio and massive $65B capital plan require significant external financing; sustained high interest rates could compress returns on invested capital below regulatory assumptions</w:t>
      </w:r>
    </w:p>
    <w:p>
      <w:pPr>
        <w:spacing w:before="40" w:after="40"/>
        <w:ind w:left="283"/>
      </w:pPr>
      <w:r>
        <w:rPr>
          <w:rFonts w:ascii="Calibri" w:hAnsi="Calibri"/>
          <w:b/>
          <w:color w:val="4A6B25"/>
          <w:sz w:val="20"/>
        </w:rPr>
        <w:t xml:space="preserve">3. </w:t>
      </w:r>
      <w:r>
        <w:rPr>
          <w:rFonts w:ascii="Calibri" w:hAnsi="Calibri"/>
          <w:b w:val="0"/>
          <w:color w:val="3A4A28"/>
          <w:sz w:val="20"/>
        </w:rPr>
        <w:t>LNG development timeline and cost overruns — multi-billion-dollar infrastructure projects face construction risk, permitting delays, and potential demand shifts if global LNG markets soften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Sempra's core business — regulated electricity transmission and distribution, natural gas delivery, and LNG infrastructure — faces virtually zero direct AI substitution risk [6]. Physical utility infrastructure cannot be digitized, and regulated monopoly franchises in California and Texas provide structural moats against any form of technological displacement. Moreover, AI-driven demand for electricity through data center proliferation is a significant tailwind — Oncor in Texas is particularly well-positioned as data center operators seek reliable power in the ERCOT market [1][7]. The only AI-related risk is potential optimization of distributed energy resources reducing centralized grid dependence over the very long term, but near-term AI actually increases grid demand. AI Opportunity (1/1): Sempra deploys AI for weather forecasting, grid monitoring, predictive maintenance, and infrastructure safety, generating measurable operational improvements across its utility operations [6]. The massive growth in AI data center power demand directly drives rate base growth at Oncor and capital investment opportunities across Sempra's portfolio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Sempra Q2 2026 Earnings Press Release, July 2026</w:t>
      </w:r>
    </w:p>
    <w:p>
      <w:pPr>
        <w:spacing w:before="20" w:after="20"/>
        <w:ind w:left="170"/>
      </w:pPr>
      <w:r>
        <w:rPr>
          <w:rFonts w:ascii="Calibri" w:hAnsi="Calibri"/>
          <w:b/>
          <w:color w:val="4A6B25"/>
          <w:sz w:val="15"/>
        </w:rPr>
        <w:t xml:space="preserve">2. </w:t>
      </w:r>
      <w:r>
        <w:rPr>
          <w:rFonts w:ascii="Calibri" w:hAnsi="Calibri"/>
          <w:b w:val="0"/>
          <w:color w:val="3A4A28"/>
          <w:sz w:val="17"/>
        </w:rPr>
        <w:t>Sempra Q1 2026 Earnings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Sempra 2025 Annual Report and Corporate Profile</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SRE key statistics and valuation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Sempra Employee Reviews (4.3/5 across 213 reviews),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Sempra Innovation, ESG, and Sustainability Reports,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Sempra $65B Capital Plan Announcement and Investor Day Presentation,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