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SSYS</w:t>
      </w:r>
      <w:r>
        <w:rPr>
          <w:rFonts w:ascii="Calibri" w:hAnsi="Calibri"/>
          <w:b/>
          <w:color w:val="1A2010"/>
          <w:sz w:val="40"/>
        </w:rPr>
        <w:t xml:space="preserve">  Stratasys Ltd.</w:t>
      </w:r>
    </w:p>
    <w:p>
      <w:pPr>
        <w:spacing w:after="120"/>
      </w:pPr>
      <w:r>
        <w:rPr>
          <w:rFonts w:ascii="Calibri" w:hAnsi="Calibri"/>
          <w:b/>
          <w:color w:val="6E8450"/>
          <w:sz w:val="18"/>
        </w:rPr>
        <w:t>GROWTH SLEEVE · 2026-08-08 · Inspire: 64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3D Printing / Additive Manufacturing · NASDAQ · Israel</w:t>
      </w:r>
    </w:p>
    <w:p>
      <w:pPr>
        <w:spacing w:after="80"/>
      </w:pPr>
      <w:r>
        <w:rPr>
          <w:rFonts w:ascii="Calibri" w:hAnsi="Calibri"/>
          <w:b w:val="0"/>
          <w:color w:val="3A4A28"/>
          <w:sz w:val="20"/>
        </w:rPr>
        <w:t>Stratasys Ltd. is a pioneer in polymer 3D printing and additive manufacturing, offering a portfolio of printing technologies including Fused Deposition Modeling (FDM), PolyJet, stereolithography (P3 from Origin acquisition), and Selective Absorption Fusion (SAF from Xaar 3D). The company serves aerospace, automotive, healthcare, consumer products, and education markets with hardware, materials, software, and Stratasys Direct manufacturing services. Founded by Scott Crump, inventor of FDM technology, and headquartered in Rehovot, Israel with operations in Eden Prairie, Minnesota.</w:t>
      </w:r>
    </w:p>
    <w:p>
      <w:r>
        <w:rPr>
          <w:rFonts w:ascii="Calibri" w:hAnsi="Calibri"/>
          <w:b/>
          <w:color w:val="6E8450"/>
          <w:sz w:val="18"/>
        </w:rPr>
        <w:t>2,400 Employees · https://www.stratasys.com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Stratasys has broadened its technology platform through acquisitions — Origin (P3 resin technology), Xaar 3D (SAF powder bed), and MakerBot — but has failed to translate technological breadth into revenue growth, with TTM revenue of $548M still well below the $750M peak in 2014 [1][2]. The core challenge is that the promised 3D printing revolution has been 'more localized and gradual' than expected [2]. AI Deployment (0/2): No AI-powered products or quantified AI-driven efficiencies disclosed. Software tools may incorporate computational optimization but no AI-specific results reported [1]. Market Share (1/2): Stratasys is a meaningful player in polymer 3D printing with strong brand recognition and a broad multi-technology portfolio, but the market is highly fragmented with competition from HP, Desktop Metal, 3D Systems, and Chinese entrants [2]. Product Pipeline (1/2): Stratasys Direct manufacturing services grew 23% organically YoY driven by U.S. drone and industrial customers, suggesting growing demand for on-demand additive manufacturing [1]. Multiple printing technologies in portfolio provide cross-selling opportunities. R&amp;D Intensity (1/1): Over 1,000 issued patents covering FDM and PolyJet technologies, with significant R&amp;D investment relative to revenue. Founder Scott Crump invented FDM, and the company maintains strong IP positioning in polymer 3D printing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Stratasys's purpose centers on 'leading the global shift to additive manufacturing' — a clear and industry-specific mission that connects their technology to transforming how products are designed and built. The 'Mindful Manufacturing' brand for sustainability efforts adds specificity, but the mission is ultimately about technology adoption rather than a transformative vision of a better future [3]. Community Impact (1/2): Stratasys published its third ESG and Sustainability Report, consumed 778,365 kWh of renewable energy, reduced GHG emissions intensity by 15.5%, and appointed founder Scott Crump as ESG &amp; Climate Champion [3]. The Equal Parent Policy across all genders (17% increase in male parental leave uptake) demonstrates values-driven policy, though specific charitable dollar amounts are not disclosed. Employee Retention (0/2): No retention or tenure data available. The company has ~2,400 employees. CEO Yoav Zeif was appointed in 2020 following a period of leadership instability, and the company has faced activist shareholder pressure from Fortissimo [2]. Insider Buying (0/2): No evidence of meaningful net insider buying by CEO Zeif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financial metrics. Stratasys has a clean balance sheet with D/E of just 3% ($26.7M debt against $825.6M equity) and $237.8M in cash and deposits — scoring at target on leverage [4]. However, profitability metrics are deeply negative: ROE of -14.3%, profit margin of -21.0%, and GAAP net loss of -$115M TTM, all scoring 0 [4]. Revenue declined 2.4% YoY in Q1 2026 ($132.7M vs $136.0M), and the 5yr revenue CAGR is approximately -2% (from ~$607M in FY2021 to $548M TTM), reflecting the stalled adoption of 3D printing in manufacturing [1]. Forward P/E of 67.28 is above the 60 floor, scoring 0. FY2026 guidance of $565-575M revenue with non-GAAP net income of $8-12.5M suggests a possible return to profitability, but at razor-thin margins of 0.7-1.5%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Stratasys operates in a state of strategic limbo — the company's founding cause (revolutionizing manufacturing through 3D printing) has been challenged by a decade of market reality. Revenue peaked in 2014 and has never recovered, while activist investors and hostile takeover attempts have forced the company into defensive mode. The leadership instability (CEO changes, activist pressure from Fortissimo) and persistent unprofitability suggest a company fighting to survive this quarter rather than playing to keep playing.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Stratasys's founding cause — transforming manufacturing through additive technology — was genuinely revolutionary when Scott Crump invented FDM. However, the 3D printing revolution has stalled, with the company's own revenue declining from $750M peak (2014) to $548M TTM [1][2]. A Just Cause must endure through adversity, but Stratasys's cause has been more undermined by reality than validated by it. The 'Mindful Manufacturing' sustainability positioning adds purpose but reads as a secondary narrative rather than a driving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Leadership instability has characterized Stratasys in recent years — CEO Yoav Zeif was appointed in 2020 after prior CEO departures, and the company has faced activist pressure from Fortissimo and a hostile merger attempt from Nano Dimension [2]. Board reshuffling and management changes create organizational uncertainty. No public data on employee engagement, retention, or internal culture for the approximately 2,400 employees.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Stratasys positions itself as a 'disruptor' of traditional manufacturing rather than acknowledging the strengths of 3D printing competitors like HP, Desktop Metal, or 3D Systems [2]. The company's competitive narrative focuses on its technology breadth and IP portfolio rather than learning from rivals' innovations. This is a finite competitive posture focused on defending market position.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Stratasys has evolved from a single-technology FDM company to a multi-technology platform through acquisitions (Origin, Xaar 3D, MakerBot). The expansion into Stratasys Direct manufacturing services — now growing 23% organically from drone/industrial customers — represents a meaningful shift from hardware sales to recurring service revenue [1]. These are incremental evolutions within the same industry rather than a transformative pivot, but they show willingness to adapt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Stratasys has continued to invest in R&amp;D and technology acquisitions despite a decade of revenue decline and persistent losses — maintaining over 1,000 patents and a multi-technology platform when the easier path would have been to cut R&amp;D and harvest the existing FDM business [1][2]. Management resisted Nano Dimension's hostile takeover attempt in 2023 and has maintained strategic independence despite activist pressure, which required conviction in the long-term thesis.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Stratasys is positioned as the broadest-technology-portfolio polymer 3D printing company globally, with FDM, PolyJet, P3, and SAF technologies serving aerospace, automotive, healthcare, and industrial markets. Q1 FY2026 revenue of $132.7M was down 2.4% YoY, but Stratasys Direct grew 23% organically from drone and industrial customers, and FY2026 guidance of $565-575M revenue with $8-12.5M non-GAAP net income suggests a potential return to profitability [1]. The balance sheet is a relative strength with $237.8M cash, negligible debt (D/E 3%), and $825.6M equity, providing ample runway for turnaround execution [4]. Over 1,000 patents in FDM and PolyJet create defensible IP moats, and the company's stock at 0.94x book value offers value-investor appeal if the manufacturing services pivot gains traction.</w:t>
      </w:r>
    </w:p>
    <w:p>
      <w:pPr>
        <w:spacing w:after="120"/>
      </w:pPr>
      <w:r>
        <w:rPr>
          <w:rFonts w:ascii="Calibri" w:hAnsi="Calibri"/>
          <w:b w:val="0"/>
          <w:color w:val="3A4A28"/>
          <w:sz w:val="20"/>
        </w:rPr>
        <w:t>The bear case is severe and well-documented: Stratasys has destroyed shareholder value for over a decade, with revenue declining from $750M in 2014 to $548M TTM and persistent GAAP losses (-$115M TTM, -21% profit margin) [1][4]. The 3D printing revolution that Stratasys was supposed to lead has been 'more localized and gradual' than expected, with traditional manufacturing proving more resilient than bulls anticipated [2]. Forward P/E of 67.28 implies the market expects only razor-thin profitability even in the optimistic scenario. The $17M tariff and currency headwind in FY2026 further pressures an already fragile margin structure. Leadership instability — activist pressure from Fortissimo, rejected hostile takeover from Nano Dimension, and CEO turnover — creates governance risk. At 407K shares average daily volume and $8.92 stock price ($3.6M daily liquidity), this is a speculative small-cap with no dividend, no earnings, and a decade of unfulfilled promises.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Stratasys Direct manufacturing services growing 23% organically from U.S. drone and industrial customers — if this service model scales, it could shift the revenue mix toward higher-margin recurring manufacturing revenue</w:t>
      </w:r>
    </w:p>
    <w:p>
      <w:pPr>
        <w:spacing w:before="40" w:after="40"/>
        <w:ind w:left="283"/>
      </w:pPr>
      <w:r>
        <w:rPr>
          <w:rFonts w:ascii="Calibri" w:hAnsi="Calibri"/>
          <w:b/>
          <w:color w:val="4A6B25"/>
          <w:sz w:val="20"/>
        </w:rPr>
        <w:t xml:space="preserve">2. </w:t>
      </w:r>
      <w:r>
        <w:rPr>
          <w:rFonts w:ascii="Calibri" w:hAnsi="Calibri"/>
          <w:b w:val="0"/>
          <w:color w:val="3A4A28"/>
          <w:sz w:val="20"/>
        </w:rPr>
        <w:t>FY2026 guidance for positive non-GAAP net income ($8-12.5M) and positive operating cash flow would mark a potential inflection point after years of losses, providing proof of operational leverage</w:t>
      </w:r>
    </w:p>
    <w:p>
      <w:pPr>
        <w:spacing w:before="40" w:after="40"/>
        <w:ind w:left="283"/>
      </w:pPr>
      <w:r>
        <w:rPr>
          <w:rFonts w:ascii="Calibri" w:hAnsi="Calibri"/>
          <w:b/>
          <w:color w:val="4A6B25"/>
          <w:sz w:val="20"/>
        </w:rPr>
        <w:t xml:space="preserve">3. </w:t>
      </w:r>
      <w:r>
        <w:rPr>
          <w:rFonts w:ascii="Calibri" w:hAnsi="Calibri"/>
          <w:b w:val="0"/>
          <w:color w:val="3A4A28"/>
          <w:sz w:val="20"/>
        </w:rPr>
        <w:t>Growing demand for additive manufacturing in defense (drone production), aerospace (certified flight parts), and medical (surgical guides, implants) could drive accelerating adoption of Stratasys's multi-technology platform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 decade of revenue decline ($750M peak in 2014 to $548M TTM) with persistent GAAP losses suggests the 3D printing market opportunity has been structurally overstated — the manufacturing revolution may never arrive at the scale Stratasys needs</w:t>
      </w:r>
    </w:p>
    <w:p>
      <w:pPr>
        <w:spacing w:before="40" w:after="40"/>
        <w:ind w:left="283"/>
      </w:pPr>
      <w:r>
        <w:rPr>
          <w:rFonts w:ascii="Calibri" w:hAnsi="Calibri"/>
          <w:b/>
          <w:color w:val="4A6B25"/>
          <w:sz w:val="20"/>
        </w:rPr>
        <w:t xml:space="preserve">2. </w:t>
      </w:r>
      <w:r>
        <w:rPr>
          <w:rFonts w:ascii="Calibri" w:hAnsi="Calibri"/>
          <w:b w:val="0"/>
          <w:color w:val="3A4A28"/>
          <w:sz w:val="20"/>
        </w:rPr>
        <w:t>Forward P/E of 67.28 with only $8-12.5M non-GAAP net income guidance implies severe downside if the fragile return to profitability falters from tariff impacts ($17M headwind), currency moves, or demand weakness</w:t>
      </w:r>
    </w:p>
    <w:p>
      <w:pPr>
        <w:spacing w:before="40" w:after="40"/>
        <w:ind w:left="283"/>
      </w:pPr>
      <w:r>
        <w:rPr>
          <w:rFonts w:ascii="Calibri" w:hAnsi="Calibri"/>
          <w:b/>
          <w:color w:val="4A6B25"/>
          <w:sz w:val="20"/>
        </w:rPr>
        <w:t xml:space="preserve">3. </w:t>
      </w:r>
      <w:r>
        <w:rPr>
          <w:rFonts w:ascii="Calibri" w:hAnsi="Calibri"/>
          <w:b w:val="0"/>
          <w:color w:val="3A4A28"/>
          <w:sz w:val="20"/>
        </w:rPr>
        <w:t>Activist shareholder pressure from Fortissimo and governance instability create strategic distraction risk — management may prioritize short-term optics over long-term capability investment to appease activists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3D printing is a fundamentally physical manufacturing process — AI cannot substitute for the hardware, materials science, and precision engineering required to build objects layer by layer. Stratasys's competitive moat includes 1,000+ patents on FDM and PolyJet technologies, deep materials expertise, and regulatory certifications for aerospace and medical applications that require years of qualification testing [2]. The physical nature of additive manufacturing is structurally resistant to AI displacement. However, AI-driven generative design tools (from Autodesk, nTopology, etc.) could commoditize the design-to-print workflow, and AI-optimized competing print technologies could erode Stratasys's technology advantages over time. Stratasys Direct's 23% organic growth from drone/industrial customers suggests the company benefits from AI-adjacent growth in autonomous systems [1]. AI Opportunity (0/1): No quantifiable AI-driven revenue. Software tools may incorporate computational optimization but no AI-specific products or revenue streams have been disclosed.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Stratasys Q1 FY2026 Earnings Release — BusinessWire, May 7, 2026</w:t>
      </w:r>
    </w:p>
    <w:p>
      <w:pPr>
        <w:spacing w:before="20" w:after="20"/>
        <w:ind w:left="170"/>
      </w:pPr>
      <w:r>
        <w:rPr>
          <w:rFonts w:ascii="Calibri" w:hAnsi="Calibri"/>
          <w:b/>
          <w:color w:val="4A6B25"/>
          <w:sz w:val="15"/>
        </w:rPr>
        <w:t xml:space="preserve">2. </w:t>
      </w:r>
      <w:r>
        <w:rPr>
          <w:rFonts w:ascii="Calibri" w:hAnsi="Calibri"/>
          <w:b w:val="0"/>
          <w:color w:val="3A4A28"/>
          <w:sz w:val="17"/>
        </w:rPr>
        <w:t>3DPrint.com / Calcalist — Stratasys Industry Analysis, Leadership and Competitive Position, 2024-2026</w:t>
      </w:r>
    </w:p>
    <w:p>
      <w:pPr>
        <w:spacing w:before="20" w:after="20"/>
        <w:ind w:left="170"/>
      </w:pPr>
      <w:r>
        <w:rPr>
          <w:rFonts w:ascii="Calibri" w:hAnsi="Calibri"/>
          <w:b/>
          <w:color w:val="4A6B25"/>
          <w:sz w:val="15"/>
        </w:rPr>
        <w:t xml:space="preserve">3. </w:t>
      </w:r>
      <w:r>
        <w:rPr>
          <w:rFonts w:ascii="Calibri" w:hAnsi="Calibri"/>
          <w:b w:val="0"/>
          <w:color w:val="3A4A28"/>
          <w:sz w:val="17"/>
        </w:rPr>
        <w:t>Stratasys ESG and Sustainability Report — Stratasys Investor Relations / 3D Printing Industry, 2024</w:t>
      </w:r>
    </w:p>
    <w:p>
      <w:pPr>
        <w:spacing w:before="20" w:after="20"/>
        <w:ind w:left="170"/>
      </w:pPr>
      <w:r>
        <w:rPr>
          <w:rFonts w:ascii="Calibri" w:hAnsi="Calibri"/>
          <w:b/>
          <w:color w:val="4A6B25"/>
          <w:sz w:val="15"/>
        </w:rPr>
        <w:t xml:space="preserve">4. </w:t>
      </w:r>
      <w:r>
        <w:rPr>
          <w:rFonts w:ascii="Calibri" w:hAnsi="Calibri"/>
          <w:b w:val="0"/>
          <w:color w:val="3A4A28"/>
          <w:sz w:val="17"/>
        </w:rPr>
        <w:t>StockAnalysis.com — SSYS Key Statistics and Financial Data,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SSYS Key Statistics,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