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STNG</w:t>
      </w:r>
      <w:r>
        <w:rPr>
          <w:rFonts w:ascii="Calibri" w:hAnsi="Calibri"/>
          <w:b/>
          <w:color w:val="1A2010"/>
          <w:sz w:val="40"/>
        </w:rPr>
        <w:t xml:space="preserve">  Scorpio Tankers Inc.</w:t>
      </w:r>
    </w:p>
    <w:p>
      <w:pPr>
        <w:spacing w:after="120"/>
      </w:pPr>
      <w:r>
        <w:rPr>
          <w:rFonts w:ascii="Calibri" w:hAnsi="Calibri"/>
          <w:b/>
          <w:color w:val="6E8450"/>
          <w:sz w:val="18"/>
        </w:rPr>
        <w:t>GROWTH SLEEVE · 2026-08-06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Marine Shipping · NYSE · Monaco</w:t>
      </w:r>
    </w:p>
    <w:p>
      <w:pPr>
        <w:spacing w:after="80"/>
      </w:pPr>
      <w:r>
        <w:rPr>
          <w:rFonts w:ascii="Calibri" w:hAnsi="Calibri"/>
          <w:b w:val="0"/>
          <w:color w:val="3A4A28"/>
          <w:sz w:val="20"/>
        </w:rPr>
        <w:t>Scorpio Tankers Inc. is one of the world's largest owners and operators of product tanker vessels, transporting refined petroleum products (gasoline, diesel, jet fuel, naphtha) across global shipping lanes. Founded by Emanuele A. Lauro in 2010, the company has grown from 3 vessels to a fleet of 90 owned vessels as of March 2026, with 10 additional newbuildings on order for delivery through 2029. The fleet operates primarily in the spot market (72 vessels) with 17 on long-term time charters. Scorpio Tankers is managed by Scorpio Ship Management and is headquartered in Monaco.</w:t>
      </w:r>
    </w:p>
    <w:p>
      <w:r>
        <w:rPr>
          <w:rFonts w:ascii="Calibri" w:hAnsi="Calibri"/>
          <w:b/>
          <w:color w:val="6E8450"/>
          <w:sz w:val="18"/>
        </w:rPr>
        <w:t>250 Employees · https://www.scorpiotankers.com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Scorpio Tankers has executed a significant fleet renewal and balance sheet transformation over the past five years, growing from a leveraged position to $1.3B net cash and $2.0B unrestricted cash as of Q2 2026 [1]. The company ordered 10 newbuildings for delivery 2026-2029, ensuring the fleet remains modern and fuel-efficient. However, the core business model — owning and operating product tanker vessels — remains fundamentally unchanged since inception. There has been no business model transformation or pivot. AI Deployment (1/2): Scorpio expanded its installation of Orca AI in 2024, enhancing vessel navigation, safety, and efficiency through artificial intelligence [2]. The company also launched a pilot program with Carbon Ridge's onboard carbon capture system and published an Acceptable Use of AI Policy [2]. AI is being deployed operationally but no specific measurable results (cost savings, revenue gains) have been publicly quantified. Market Share (1/2): Scorpio Tankers operates one of the largest product tanker fleets globally with 90 owned vessels [3]. The company is a significant player in the LR2 and MR product tanker segments but operates in a highly fragmented market where no single owner dominates. Product Pipeline (1/2): 10 newbuildings scheduled for delivery 2026-2029 provide specific fleet growth visibility [3]. However, these are standard vessel orders rather than innovative product launches. R&amp;D Intensity (0/1): As a shipping company, R&amp;D spending is minimal. The Carbon Ridge carbon capture pilot and Orca AI deployment represent some innovation investment but remain below industry R&amp;D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Scorpio Tankers positions itself as 'Marine Transportation Leaders and Innovators' with values of Integrity, Collaboration, Stewardship, and Moxie [2]. The emphasis on environmental stewardship (carbon capture pilot, IMO emissions targets) and the distinctive 'Moxie' value show more intentionality than generic shipping company missions. However, the mission is fundamentally about being an excellent shipping company rather than articulating a transformative vision that connects to a larger purpose beyond the industry. Community Impact (1/2): Scorpio publishes a sustainability report aligned with UN SDGs, has invested in carbon capture technology, strives to meet IMO GHG reduction targets, and maintains clean air compliance for SOx, NOx, and Particulate Matter [2][3]. These represent genuine environmental stewardship commitments, though no evidence of separate charitable giving or community development programs was found. Employee Retention (1/2): CEO and founder Emanuele A. Lauro has led the company for 16 years since the 2010 IPO, and the company describes its leadership as 'world-class leaders with multi-decade experience' in maritime transportation [2]. Ongoing ethics training for all employees and a zero-tolerance policy for corrupt behavior suggest organizational commitment. However, no specific retention or turnover data is publicly available. Insider Buying (0/2): No evidence of meaningful net insider buying by executives in the last 12 months was identified during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Scorpio Tankers reported its 'strongest quarter in history' in Q2 2026, with record adjusted EBITDA of $300.5M, adjusted net income of $243.7M ($5.33/share adjusted), and reported net income of $387.5M ($8.47/share) including vessel sale gains [1]. The balance sheet is exceptional — $1.3B net cash position with $2.0B unrestricted cash and $483.2M undrawn revolver capacity [1]. Debt-to-equity of 19% is well below the 70% target (metric score 1.0). ROE of 11.35% TTM falls below the 15% target (metric score 0.76), though this metric will improve significantly as Q2 2026 record earnings flow through the trailing calculation [4]. Profit margin of 36.70% is well above the 20% target (metric score 1.0) [4]. Revenue growth estimated at 40% YoY driven by elevated product tanker rates (LR2 at $58,959/day, MR at $49,551/day in Q2 2026) [1]. Forward P/E of 12.53 is well below the 20 target (metric score 1.0) [4]. Forward PEG not calculable due to cyclical earnings volatility. Liquidity floor easily cleared: 512,207 avg volume x $78 = $39.95M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Scorpio Tankers demonstrates meaningful courage to lead through founder-CEO Emanuele Lauro's 16-year tenure, bold capital allocation decisions (fleet investment during downturns, aggressive buybacks at $155M in Q2 2026), and the disciplined transformation from leveraged to $1.3B net cash. The company has shown pattern consistency through multiple tanker cycles. However, the Just Cause remains fundamentally about being an excellent shipping company rather than advancing a vision that transcends the industry. The business model has not evolved beyond its core product tanker operations, and there is no evidence of worthy rivalry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Scorpio Tankers' purpose centers on being 'Marine Transportation Leaders and Innovators' with values of Integrity, Collaboration, Stewardship, and Moxie [2]. While the environmental stewardship commitment (carbon capture pilot, IMO emissions targets) and the distinctive 'Moxie' value show intentionality, the fundamental purpose is about being an excellent shipping company — generating returns for shareholders through disciplined fleet management and capital allocation. This is a well-articulated business strategy, not a Just Cause that describes a future state worth sacrificing for. The company does not articulate a vision of a better world that transcends transporting petroleum products.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Scorpio Tankers emphasizes organizational values of Integrity, Collaboration, Stewardship, and Moxie, with ongoing ethics and conduct training for all employees and a zero-tolerance policy for corrupt behavior [2]. CEO Lauro's 16-year tenure provides leadership stability, and the company describes assembling 'world-class leaders with multi-decade experience' in maritime transportation [2]. The emphasis on empowering people to 'actively contribute to the positive advancement of the Maritime Industry' suggests an inclusive culture. However, no specific employee retention data, turnover rates, or cultural health metrics are publicly available to substantiate these claims at the organizational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communications. Scorpio operates in a fragmented product tanker market and does not reference specific competitors as worthy rivals whose strengths push Scorpio to improve [2]. The competitive language focuses on fleet quality, operational excellence, and market positioning rather than learning from competitors' approaches. Shipping companies generally do not engage in the type of competitive framing Sinek describes as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Scorpio Tankers has grown from 3 vessels in 2003 to 90+ vessels with 10 newbuildings on order, building one of the world's largest product tanker fleets [2][3]. The company has embraced sustainability innovations (carbon capture pilot, Orca AI) and executed a dramatic balance sheet transformation. However, the fundamental business model remains unchanged — owning and operating product tanker vessels. There has been no pivot from the core business, no entry into adjacent markets (LNG, dry bulk, container shipping), and no exploration of business models beyond vessel ownership and operation. The evolution has been within the product tanker paradigm, not a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Founder-CEO Emanuele Lauro has led Scorpio Tankers for 16 years and has made multiple courageous long-term bets: investing in fleet newbuildings and modernization during weak tanker markets when cheaper options existed, maintaining capital discipline through cyclical downturns rather than chasing short-term asset plays, and executing a transformative balance sheet strategy that moved the company from leveraged to $1.3B net cash [1]. In Q2 2026, management deployed $155M to repurchase nearly 2M shares at $77.72/share — a bold signal of conviction in the company's intrinsic value during the strongest quarter in company history rather than hoarding cash for the inevitable downturn [1]. The long history of consistent capital allocation priorities — fleet quality, balance sheet strength, shareholder returns — through multiple boom-bust tanker cycles demonstrates a pattern of choosing long-term capability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Scorpio Tankers is delivering its strongest financial performance in history, with Q2 2026 record adjusted EBITDA of $300.5M, adjusted net income of $243.7M ($5.33/share), and a transformed balance sheet featuring $1.3B net cash and $2.0B unrestricted cash [1]. TCE rates of $58,959/day for LR2s, $49,551/day for MRs, and $47,327/day for Handymax vessels reflect exceptionally tight product tanker supply-demand fundamentals driven by refinery configuration shifts, ton-mile expansion from trade rerouting, and limited fleet orderbook growth [1]. At a forward P/E of 12.53 and D/E of just 19%, the stock offers compelling value with significant capital return — $155M in Q2 buybacks at $77.72/share plus $0.45/share quarterly dividend [1][4]. The 10 newbuilding deliveries through 2029 ensure fleet renewal with modern, fuel-efficient tonnage, and the $1.3B net cash position provides a massive buffer against cyclical downturns while enabling continued aggressive shareholder returns [1].</w:t>
      </w:r>
    </w:p>
    <w:p>
      <w:pPr>
        <w:spacing w:after="120"/>
      </w:pPr>
      <w:r>
        <w:rPr>
          <w:rFonts w:ascii="Calibri" w:hAnsi="Calibri"/>
          <w:b w:val="0"/>
          <w:color w:val="3A4A28"/>
          <w:sz w:val="20"/>
        </w:rPr>
        <w:t>The primary risk is the deeply cyclical nature of product tanker earnings — TCE rates can fall 50-70% during downturn years, and the current record rates may not be sustainable as refinery capacity adjustments, geopolitical normalization, or global economic slowdown reduce ton-mile demand [1]. The forward P/E of 12.53 (above trailing 10.0) suggests analysts already expect some rate normalization. ROE of 11.35% TTM is below the 15% target, and while Q2 2026 will improve this metric, it reflects the cyclical earnings volatility that makes shipping stocks structurally difficult for long-term investors [4]. The dividend yield of 2.31% with only 4 years of payment history since the COVID-era suspension signals that dividends are not a reliable anchor — they were cut to zero in 2020-2021 when rates collapsed. Innovation scores just 4/10, reflecting the reality that product tanker shipping has not fundamentally evolved as a business model. Environmental regulatory risk is growing — accelerating IMO emissions regulations could require rapid fleet investments in alternative fuels or carbon capture technology that compress margins during the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 tanker supply-demand tightness driven by limited fleet orderbook, refinery configuration shifts to Asia/Middle East, and trade route elongation from geopolitical disruptions supporting elevated TCE rates above $50,000/day [1]</w:t>
      </w:r>
    </w:p>
    <w:p>
      <w:pPr>
        <w:spacing w:before="40" w:after="40"/>
        <w:ind w:left="283"/>
      </w:pPr>
      <w:r>
        <w:rPr>
          <w:rFonts w:ascii="Calibri" w:hAnsi="Calibri"/>
          <w:b/>
          <w:color w:val="4A6B25"/>
          <w:sz w:val="20"/>
        </w:rPr>
        <w:t xml:space="preserve">2. </w:t>
      </w:r>
      <w:r>
        <w:rPr>
          <w:rFonts w:ascii="Calibri" w:hAnsi="Calibri"/>
          <w:b w:val="0"/>
          <w:color w:val="3A4A28"/>
          <w:sz w:val="20"/>
        </w:rPr>
        <w:t>Aggressive capital return program — $155M in Q2 2026 buybacks at $77.72/share plus quarterly dividends, funded by $1.3B net cash and record free cash flow generation that should continue while rates remain elevated [1]</w:t>
      </w:r>
    </w:p>
    <w:p>
      <w:pPr>
        <w:spacing w:before="40" w:after="40"/>
        <w:ind w:left="283"/>
      </w:pPr>
      <w:r>
        <w:rPr>
          <w:rFonts w:ascii="Calibri" w:hAnsi="Calibri"/>
          <w:b/>
          <w:color w:val="4A6B25"/>
          <w:sz w:val="20"/>
        </w:rPr>
        <w:t xml:space="preserve">3. </w:t>
      </w:r>
      <w:r>
        <w:rPr>
          <w:rFonts w:ascii="Calibri" w:hAnsi="Calibri"/>
          <w:b w:val="0"/>
          <w:color w:val="3A4A28"/>
          <w:sz w:val="20"/>
        </w:rPr>
        <w:t>10 newbuilding deliveries through 2029 providing modern, fuel-efficient tonnage that lowers operating costs and positions the fleet for tightening IMO environmental regulations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earnings vulnerability — product tanker TCE rates can decline 50-70% during downturn periods, and normalization from current record levels ($49-59K/day) to mid-cycle averages (~$25-30K/day) would compress EBITDA by 40-50% and potentially force suspension of the capital return program [1]</w:t>
      </w:r>
    </w:p>
    <w:p>
      <w:pPr>
        <w:spacing w:before="40" w:after="40"/>
        <w:ind w:left="283"/>
      </w:pPr>
      <w:r>
        <w:rPr>
          <w:rFonts w:ascii="Calibri" w:hAnsi="Calibri"/>
          <w:b/>
          <w:color w:val="4A6B25"/>
          <w:sz w:val="20"/>
        </w:rPr>
        <w:t xml:space="preserve">2. </w:t>
      </w:r>
      <w:r>
        <w:rPr>
          <w:rFonts w:ascii="Calibri" w:hAnsi="Calibri"/>
          <w:b w:val="0"/>
          <w:color w:val="3A4A28"/>
          <w:sz w:val="20"/>
        </w:rPr>
        <w:t>Accelerating IMO environmental regulations (GHG reduction targets, clean air requirements for SOx, NOx) could require costly fleet retrofits or early replacement of existing vessels with alternative-fuel tonnage, compressing margins during the transition period [2][3]</w:t>
      </w:r>
    </w:p>
    <w:p>
      <w:pPr>
        <w:spacing w:before="40" w:after="40"/>
        <w:ind w:left="283"/>
      </w:pPr>
      <w:r>
        <w:rPr>
          <w:rFonts w:ascii="Calibri" w:hAnsi="Calibri"/>
          <w:b/>
          <w:color w:val="4A6B25"/>
          <w:sz w:val="20"/>
        </w:rPr>
        <w:t xml:space="preserve">3. </w:t>
      </w:r>
      <w:r>
        <w:rPr>
          <w:rFonts w:ascii="Calibri" w:hAnsi="Calibri"/>
          <w:b w:val="0"/>
          <w:color w:val="3A4A28"/>
          <w:sz w:val="20"/>
        </w:rPr>
        <w:t>Concentrated exposure to refined petroleum product demand — long-term energy transition toward electrification and renewables creates structural secular risk to the core cargo base, even as near-term demand remains robust from AI data center energy consumption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 Scorpio Tankers' core business involves the physical transportation of refined petroleum products across global ocean shipping lanes using 90+ owned vessels [1][3]. AI structurally cannot substitute for 40,000-115,000 deadweight ton steel vessels that physically carry gasoline, diesel, jet fuel, and naphtha across oceans. The business requires massive physical capital (fleet valued in the billions), experienced maritime crews, port infrastructure, regulatory compliance with international maritime law, and navigation of complex global trade routes. No AI technology can replicate the physical movement of liquid hydrocarbons. The demand driver — global refined petroleum consumption — is driven by economic activity and energy needs that AI cannot eliminate; in fact, AI data center proliferation is increasing energy demand, which supports refined product transportation volumes. AI is a net positive for tanker operations — Scorpio's deployment of Orca AI for navigation and efficiency enhancement demonstrates how AI makes existing operations safer and more efficient rather than replacing them [2]. AI Opportunity (0/1): While Scorpio deploys Orca AI for operational efficiency and is piloting Carbon Ridge carbon capture, these are cost optimization tools, not customer-facing AI revenue products [2]. AI is used internally to improve vessel performance, not sold as a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Scorpio Tankers Q2 2026 Earnings Release — Record EBITDA $300.5M, Net Income $387.5M, $1.3B Net Cash, stocktitan.net, July 2026</w:t>
      </w:r>
    </w:p>
    <w:p>
      <w:pPr>
        <w:spacing w:before="20" w:after="20"/>
        <w:ind w:left="170"/>
      </w:pPr>
      <w:r>
        <w:rPr>
          <w:rFonts w:ascii="Calibri" w:hAnsi="Calibri"/>
          <w:b/>
          <w:color w:val="4A6B25"/>
          <w:sz w:val="15"/>
        </w:rPr>
        <w:t xml:space="preserve">2. </w:t>
      </w:r>
      <w:r>
        <w:rPr>
          <w:rFonts w:ascii="Calibri" w:hAnsi="Calibri"/>
          <w:b w:val="0"/>
          <w:color w:val="3A4A28"/>
          <w:sz w:val="17"/>
        </w:rPr>
        <w:t>Scorpio Tankers Corporate Overview — Leadership, AI Deployment (Orca AI), Carbon Capture Pilot, ESG Commitments, scorpiotankers.com, 2026</w:t>
      </w:r>
    </w:p>
    <w:p>
      <w:pPr>
        <w:spacing w:before="20" w:after="20"/>
        <w:ind w:left="170"/>
      </w:pPr>
      <w:r>
        <w:rPr>
          <w:rFonts w:ascii="Calibri" w:hAnsi="Calibri"/>
          <w:b/>
          <w:color w:val="4A6B25"/>
          <w:sz w:val="15"/>
        </w:rPr>
        <w:t xml:space="preserve">3. </w:t>
      </w:r>
      <w:r>
        <w:rPr>
          <w:rFonts w:ascii="Calibri" w:hAnsi="Calibri"/>
          <w:b w:val="0"/>
          <w:color w:val="3A4A28"/>
          <w:sz w:val="17"/>
        </w:rPr>
        <w:t>Scorpio Tankers Annual Filing — Fleet of 90 Vessels, 10 Newbuildings, ESG Risks, SEC 20-F, 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Financial Data — Forward P/E 12.53, D/E 0.19, ROE 11.35%, Profit Margin 36.70%,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