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STRC</w:t>
      </w:r>
      <w:r>
        <w:rPr>
          <w:rFonts w:ascii="Calibri" w:hAnsi="Calibri"/>
          <w:b/>
          <w:color w:val="1A2010"/>
          <w:sz w:val="40"/>
        </w:rPr>
        <w:t xml:space="preserve">  Strategy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/ Bitcoin Treasury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Strategy Inc. (formerly MicroStrategy) operates as a world's largest Bitcoin treasury company and enterprise analytics software provider. STRC is the Variable Rate Series A Perpetual Stretch Preferred Stock, the world's largest preferred stock by market cap at $8.5B, paying an annualized variable dividend of approximately 12% on $100 stated amount. The company holds 843,775 BTC ($63.7B cost basis) and provides the Strategy ONE AI-powered analytics platform. Founded in 1989, rebranded February 2025.</w:t>
      </w:r>
    </w:p>
    <w:p>
      <w:r>
        <w:rPr>
          <w:rFonts w:ascii="Calibri" w:hAnsi="Calibri"/>
          <w:b/>
          <w:color w:val="6E8450"/>
          <w:sz w:val="18"/>
        </w:rPr>
        <w:t>1,539 Employees · https://www.strategy.com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Strategy Inc. pioneered the corporate Bitcoin treasury strategy, accumulating 843,775 BTC (up from 815,061 in April) and raising $25.3B in capital in 2025 alone — a genuine financial innovation that created an entirely new corporate model [1][2]. Q1 2026 software revenue of $124.3M grew 11.9% YoY, though the software business remains stagnant relative to the Bitcoin treasury's scale. AI Deployment (1/2): Strategy ONE AI-powered enterprise analytics platform ships with AI-driven dashboards and natural-language query capabilities; Subscription Services revenue of $123M quarterly (62% YoY growth) shows traction but remains immaterial to enterprise value [1][3]. Market Share (1/2): Strategy is the world's largest corporate Bitcoin holder by a wide margin (3.2% of all Bitcoin in circulation), and STRC is the largest preferred stock globally, but the legacy BI software business has lost share to Tableau, Power BI, and Looker [1]. Pipeline (1/2): Continued Bitcoin accumulation with $8.1B available under Common Stock ATM and $29B across preferred ATM programs provides clear capital deployment visibility [1]. R&amp;D Intensity (0/1): R&amp;D spending is below industry average for an enterprise software company, as capital allocation overwhelmingly favors Bitcoin purchases over product development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Strategy's effective mission is Bitcoin accumulation and advocacy — Saylor's vision of Bitcoin as a long-term digital store of value is deeply held but narrow and self-serving rather than a transformative purpose that invites broad participation and benefits others [3]. Community Impact (1/2): Bitcoin advocacy work has created educational resources and a growing community of corporate Bitcoin adopters, though this primarily serves financial interests [3]. Employee Retention (0/2): Glassdoor rating of 2.8/5 (27% below IT industry average) with reports of toxic engineering leadership and a culture of fear where dissent is punished — a significant red flag that has not improved [4]. Insider Buying (1/2): CEO Phong Le purchased shares in March 2026 ($250K) and January 2026; Director Jarrod Patten purchased $2.3M in October 2025; General Counsel Wei-Ming Shao purchased $1.2M in September 2025 — meaningful collective commitment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with significant GAAP changes from Bitcoin fair-value accounting under ASU 2023-08. D/E improved dramatically to 18.0% (from 1,615.8% in April) as Bitcoin is now marked at fair value on the balance sheet, inflating equity with 843,775 BTC at market prices [4]. ROE worsened to -30.76% driven by $12.77B in GAAP Bitcoin impairment losses in the last twelve months [1]. Software revenue grew 11.9% YoY to $124.3M in Q1 2026, a meaningful improvement from 1.9% growth in FY2025 [1]. Forward P/E of 19.73 (for MSTR common) sits just below the 20x target, reflecting analyst Bitcoin appreciation assumptions. Profit margin remains deeply negative due to Bitcoin mark-to-market losses. Revenue growth 5yr CAGR of -1.5% reflects the stagnant software business underlying the Bitcoin strategy [5]. STRC trades at $88.39 versus $100 par, a deeper discount than April's $99.53, reflecting market concern about Bitcoin price risk. Liquidity floor cleared: 4M avg volume x $88.39 = $354M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Strategy Inc. under Michael Saylor's vision exhibits a paradoxically finite game despite the long-term nature of Bitcoin. The singular focus on Bitcoin accumulation through aggressive leverage is a concentrated bet on a specific financial outcome, while the toxic Glassdoor culture (2.8/5) and neglect of the software business reveal short-term optimization over enduring organizational health. The extraordinary conviction and leverage deserve credit, but the overall picture is of a company playing to win one bet, not to keep playing.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Saylor's Bitcoin thesis — that Bitcoin is the ultimate store of value and corporations should hold it as treasury — is deeply held and consistent since 2020. It has attracted followers and created a movement [1][3]. However, 'own Bitcoin' is a financial thesis, not a Just Cause in Sinek's framework. It does not describe a future state that benefits others beyond financial gains or invite broad participation in building something transcendent.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rating of 2.8/5 with specific complaints about 'toxic engineering leadership' and 'a culture of fear where dissent is punished, which has killed innovation and critical thinking' [4]. This is the antithesis of Sinek's Circle of Safety. When employees cannot challenge leadership or take risks without fear, the organization is playing a finite game regardless of its stated ambitions.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Strategy's competitive framing is maximalist — Saylor consistently positions Bitcoin as categorically superior to gold, real estate, bonds, and all other assets rather than acknowledging rivals' strengths or learning from competitors [3]. In the BI software space, the company has largely ceded ground without acknowledging or learning from competitors' advantages.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stagnant enterprise BI software company to the world's largest Bitcoin treasury company was one of the most dramatic corporate transformations in public market history [1][3]. Whether driven by a Just Cause or financial desperation is debatable, but the willingness to fundamentally redefine the company's identity, balance sheet, and capital structure is undeniable.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Saylor has demonstrated a pattern of extraordinary courage — taking on $8.26B in debt to buy Bitcoin, holding through the 2022 crypto winter (Bitcoin from $69K to $16K), stepping down as CEO to focus on Bitcoin strategy, creating STRC preferred stock ($8.5B, committing to 12% dividends to fund purchases), and raising $25.3B in a single year [1][5]. CEO Le and multiple directors backed the thesis with personal capital ($4.2M+ in insider buying). Multiple examples of choosing long-term conviction over short-term safety, though narrowly focused on one financial bet.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STRC is Strategy Inc.'s variable rate preferred stock offering approximately 13.6% current yield ($12 annual dividend on $88.39 market price, below $100 par) backed by the capital structure of the world's largest corporate Bitcoin holder (843,775 BTC, up from 815,061 in April) [1][5]. The preferred provides income exposure with structural priority over common equity. Q1 2026 software revenue of $124.3M grew 11.9% YoY, an improvement from the 1.9% growth rate last year, and Subscription Services surged 62% to $123M quarterly [1]. CEO Le and multiple insiders have purchased $4.2M+ in shares over the past 12 months, signaling management confidence in the capital structure [5]. At $88.39, STRC trades at an 11.6% discount to par, providing both yield and potential capital appreciation if Bitcoin appreciates.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extraordinary leverage and concentration risk. STRC's 12% preferred dividend costs approximately $1B annually against only $490M in software revenue — the gap must be funded by capital markets activities that depend on favorable Bitcoin prices [1][4]. The stock has dropped from $99.53 in April to $88.39, reflecting growing market concern about Bitcoin's trajectory and dividend sustainability. GAAP losses of $12.77B in the TTM (vs. -$3.85B in FY2025) demonstrate accelerating accounting volatility under Bitcoin fair-value rules [4]. Glassdoor ratings of 2.8/5 with reports of toxic leadership suggest organizational decay in the software business that provides non-Bitcoin revenue [4]. Bitcoin's historical 50%+ drawdowns could impair STRC's recovery value, and the entire investment thesis collapses if Strategy cannot service the preferred dividend through sustained capital markets access.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Bitcoin price appreciation above Strategy's $75,536 average cost basis would expand the equity cushion protecting STRC's preferred dividend and drive the stock back toward par value of $100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Subscription Services 62% YoY growth and accelerating software revenue (11.9% vs. 1.9% prior year) demonstrate Strategy ONE platform viability as a non-Bitcoin revenue source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insider buying by CEO Le and directors ($4.2M+) signals management confidence in the capital structure's sustainability and preferred dividend coverage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STRC's 12% preferred dividend requires ~$1B annually against only $490M software revenue — the coverage gap depends on capital markets access that Bitcoin price declines could shut off, as evidenced by STRC's decline from par to $88.39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Organizational culture deterioration with 2.8/5 Glassdoor rating and reports of toxic leadership threatens the software business viability that provides Strategy's only operational revenue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GAAP Bitcoin mark-to-market accounting produced $12.77B in TTM losses (3x worse than FY2025), creating volatile reported earnings that complicate institutional investment mandates and raise regulatory scrutiny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Strategy Inc.'s dual business creates a split AI risk profile. The Bitcoin treasury — which constitutes over 99% of enterprise value at 843,775 BTC — is structurally immune to AI disruption; Bitcoin's value proposition as a decentralized store of value is not threatened by artificial intelligence [1]. However, the legacy enterprise analytics business (Strategy ONE) faces significant AI disruption pressure from AI-native competitors like Databricks, Snowflake, and Microsoft's Copilot-integrated Power BI that are eroding market share in a segment already declining [3]. Since the software business generates the cash flow needed to service STRC's 12% preferred dividend, its AI vulnerability creates indirect risk for preferred holders. AI Opportunity (1/1): Strategy ONE integrates AI technologies for enterprise analytics, and the 62% growth in Subscription Services indicates customers are adopting the AI-enhanced cloud platform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Strategy Inc. Q1 2026 Earnings Release — 843,775 BTC held, $124.3M revenue (+11.9% YoY), -$12.54B net loss, Subscription Services +62%,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Strategy Bitcoin Treasury Strategy — $25.3B capital raised in 2025, STRC/STRK capital instruments, BTC accumulation,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Strategy Inc. Investor Relations — Strategy ONE AI platform, executive team, corporate rebranding,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Reviews — Strategy Inc. employee reviews, 2.8/5 rating, toxic culture concerns; StockAnalysis MSTR financial data,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STRC Preferred Stock Market Data — CoinDesk ($88.39 below par), Investing.com, insider buying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