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SVC</w:t>
      </w:r>
      <w:r>
        <w:rPr>
          <w:rFonts w:ascii="Calibri" w:hAnsi="Calibri"/>
          <w:b/>
          <w:color w:val="1A2010"/>
          <w:sz w:val="40"/>
        </w:rPr>
        <w:t xml:space="preserve">  Service Properties Trust</w:t>
      </w:r>
    </w:p>
    <w:p>
      <w:pPr>
        <w:spacing w:after="120"/>
      </w:pPr>
      <w:r>
        <w:rPr>
          <w:rFonts w:ascii="Calibri" w:hAnsi="Calibri"/>
          <w:b/>
          <w:color w:val="6E8450"/>
          <w:sz w:val="18"/>
        </w:rPr>
        <w:t>GROWTH SLEEVE · 2026-07-25 · Inspire: 61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Hotel &amp; Motel · NASDAQ · United States</w:t>
      </w:r>
    </w:p>
    <w:p>
      <w:pPr>
        <w:spacing w:after="80"/>
      </w:pPr>
      <w:r>
        <w:rPr>
          <w:rFonts w:ascii="Calibri" w:hAnsi="Calibri"/>
          <w:b w:val="0"/>
          <w:color w:val="3A4A28"/>
          <w:sz w:val="20"/>
        </w:rPr>
        <w:t>Service Properties Trust is an externally managed REIT with approximately $10 billion invested in hotels and service-focused retail net lease properties. As of Q1 2026, SVC operates a reduced portfolio following the sale of 112 hotels in 2025, retaining approximately 94 hotels with 21,000+ guest rooms and 760 net lease properties with 13.6M+ square feet across the U.S., Puerto Rico, and Canada. Managed by The RMR Group. The company executed a ~5:1 reverse stock split and raised approximately $1.5B through capital markets activity to retire $1.6B of debt, reducing annual interest expense by $59M.</w:t>
      </w:r>
    </w:p>
    <w:p>
      <w:r>
        <w:rPr>
          <w:rFonts w:ascii="Calibri" w:hAnsi="Calibri"/>
          <w:b/>
          <w:color w:val="6E8450"/>
          <w:sz w:val="18"/>
        </w:rPr>
        <w:t>https://www.svcreit.com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SVC has executed no meaningful product launches or business model innovations — strategic activity has been entirely focused on asset dispositions and balance sheet repair. The company sold 112 hotel properties in 2025 for $859M and continued dispositions in early 2026, representing forced contraction rather than innovation [1]. Q1 2026 revenue declined 16.3% YoY as the hotel portfolio shrank. AI Deployment (0/2): No AI deployment in SVC's operations. No AI-driven property management, revenue optimization, or guest experience initiatives have been disclosed [2]. The RMR Group management structure provides no technology innovation capability. Market Share (1/2): SVC still operates a meaningful combined portfolio of ~94 hotels and 760 net lease properties, representing scale in the service-focused REIT segment. However, the portfolio is contracting, and SVC is not a category leader or share gainer in any property type [1]. Pipeline (0/2): No growth pipeline visible. The company is in net disposal mode, with 2026 guidance focused on hotel EBITDA stabilization at $124-144M rather than asset acquisition or expansion [1]. R&amp;D Intensity (1/1): Not applicable for a REIT, but SVC receives credit for active capital allocation through its renovation program across retained hotels, which management expects to drive RevPAR growth of 3.5% versus the industry's 1.4% forecast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SVC's purpose — 'acquiring, owning, and leasing service-oriented properties' — is a description of operations, not a mission or vision. It is interchangeable with any hospitality REIT and articulates no purpose beyond financial returns [2]. Community Impact (0/2): No evidence of charitable programs, community investment, or philanthropic initiatives. As an externally managed REIT, SVC has no direct employees and relies entirely on RMR Group for operational management [2]. Employee Retention (1/2): CEO Chris Bilotto was appointed in March 2025 and brings experience as EVP at RMR Group overseeing hotel and senior living properties [2]. RMR Group has 35+ years of institutional experience managing commercial real estate, providing organizational continuity. However, no employee-specific retention data is available for SVC given its externally managed structure. Insider Buying (1/2): CEO Bilotto has made open-market share purchases at depressed prices, signaling personal conviction in the restructuring thesis despite the stock's significant decline [2]. This represents meaningful alignment of management and shareholder interests during the most challenging period in SVC's history.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severely distressed metrics. D/E of 1,030% massively exceeds the 300% floor, scoring zero — total debt remains approximately $5B despite the $1.6B debt retirement funded by the equity offering [4]. ROE of -38.6% and profit margin of -13.6% both score zero, reflecting TTM net losses of $237M driven by impairment charges, debt extinguishment costs, and interest expense [4]. Q1 2026 revenue declined 16.3% YoY to $364M as hotel dispositions shrink the asset base, scoring only 0.12 on revenue growth. The 5-year revenue CAGR of approximately -2% is distorted by the pandemic but directionally negative. Forward P/E is not available due to negative earnings. The company's only positive developments are the $59M annual interest savings from debt retirement, and 2026 guidance for $500-520M adjusted EBITDAre and $124-144M normalized FFO [1]. Liquidity floor cleared: 2.2M avg vol x $8.46 = $18.6M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SVC remains firmly in finite game territory — the company's strategic decisions continue to be driven by debt maturity pressure and survival rather than long-term vision. The massive equity dilution (~5:1 reverse split plus new share issuance), $1.6B debt retirement, hotel dispositions, and $0.01/quarter token dividend are all reactive measures to avoid default. External management by RMR Group creates structural agency conflicts. The appointment of CEO Bilotto and his insider purchases represent the only signs of genuine leadership commitment.</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SVC has no articulated Just Cause. The company exists to own and lease properties — a financial structure, not a purpose [2]. All strategic decisions are driven by debt maturities and creditor pressure rather than a vision of a future worth building. The external management by RMR Group creates an additional agency problem: RMR earns base management fees regardless of SVC's stock performance or shareholder outcomes, fundamentally misaligning incentives with any long-term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As an externally managed REIT, SVC has no direct employees — its workforce and management are provided by RMR Group under a management contract [2]. This external structure inherently limits trust-building within the organization, as the people executing strategy are employed by a separate company with its own economic interests. The RMR management model has faced criticism from institutional investors for conflicts of interest across its multi-REIT portfolio. No evidence of team empowerment or cultural investment was found.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SVC leadership acknowledging competitors' strengths or framing competition as a learning opportunity. The company's investor communications focus exclusively on asset values, cap rates, and debt maturities rather than operational improvement relative to peers [1]. The external management structure further distances the trust from competitive learning — RMR manages multiple REITs and focuses on AUM rather than competitive excellence at any single entity.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SVC has made a significant strategic shift under duress — disposing of 112 hotels, executing a massive equity offering, and cutting the dividend 95% to transform from a hotel-focused REIT into a more net-lease-focused entity [1]. The 2026 guidance shows net lease NOI of $380-386M contributing meaningfully more stable cash flows than the $124-144M hotel EBITDA. However, these actions were entirely driven by financial necessity (debt maturity wall) rather than a visionary pivot in service of a purpose.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Bilotto's open-market share purchases at depressed prices and the willingness to execute painful but necessary decisions — 95% dividend cut, massive dilution through ~5:1 reverse split and equity offering, $1.6B debt retirement — demonstrate personal conviction and difficult leadership [1][2]. Cutting the dividend and diluting shareholders required courage, even though these actions were arguably forced by creditors. The capital markets activity to retire $1.6B of debt and reduce interest by $59M annually shows commitment to long-term viability over short-term popularity.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SVC is executing a significant balance sheet restructuring that has materially improved its near-term survival prospects since the last screen. The company used $1.5B in capital markets activity to retire $1.6B of debt, cutting annual cash interest expense by $59M [1]. At $8.46 post-reverse-split, the stock trades at 0.58x book value ($14.69/share), implying the market assigns deep distress to the equity. FY2026 guidance of $500-520M adjusted EBITDAre and $124-144M normalized FFO shows the business generates positive operating cash flow. The net lease portfolio provides $380-386M guided NOI as a stable income base, and RevPAR growth of 3.5% is projected to outpace the 1.4% industry forecast, suggesting retained hotels are higher-quality assets following the disposition program [1]. CEO Bilotto's insider purchases align management with shareholders. Analyst consensus is Buy with a $12.19 target (+44% upside) [4].</w:t>
      </w:r>
    </w:p>
    <w:p>
      <w:pPr>
        <w:spacing w:after="120"/>
      </w:pPr>
      <w:r>
        <w:rPr>
          <w:rFonts w:ascii="Calibri" w:hAnsi="Calibri"/>
          <w:b w:val="0"/>
          <w:color w:val="3A4A28"/>
          <w:sz w:val="20"/>
        </w:rPr>
        <w:t>The bear case centers on persistent leverage, dilution damage, and structural challenges. D/E of 1,030% with approximately $5B remaining debt creates ongoing refinancing risk, and short interest of 17.3% reflects deep market skepticism about the restructuring [4]. Q1 2026 revenue declined 16.3% YoY with hotel revenue down 21%, and net loss deepened to $151M including impairment and debt extinguishment charges [3]. The equity offering more than doubled the share count through massive dilution — with reverse-split-adjusted shares now at 129.53M — making any recovery in per-share metrics mathematically challenging. Normalized FFO of $0.04/share in Q1 2026 ($0.20 annualized post-split) barely covers the $0.20 annual dividend, and full-year guidance implies back-half loaded results that may not materialize [1]. External management by RMR Group creates agency conflicts — base management fees are earned regardless of stock performance, reducing management incentive to prioritize equity holders. The dividend of $0.20/year (2.36% yield) is a token payment that provides no meaningful income return, and further cuts cannot be ruled out if hotel operations deteriorate.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completion of balance sheet restructuring — $1.6B debt retirement reduces annual interest by $59M, and further dispositions could bring leverage below 6x EBITDAre, potentially restoring credit access [1]</w:t>
      </w:r>
    </w:p>
    <w:p>
      <w:pPr>
        <w:spacing w:before="40" w:after="40"/>
        <w:ind w:left="283"/>
      </w:pPr>
      <w:r>
        <w:rPr>
          <w:rFonts w:ascii="Calibri" w:hAnsi="Calibri"/>
          <w:b/>
          <w:color w:val="4A6B25"/>
          <w:sz w:val="20"/>
        </w:rPr>
        <w:t xml:space="preserve">2. </w:t>
      </w:r>
      <w:r>
        <w:rPr>
          <w:rFonts w:ascii="Calibri" w:hAnsi="Calibri"/>
          <w:b w:val="0"/>
          <w:color w:val="3A4A28"/>
          <w:sz w:val="20"/>
        </w:rPr>
        <w:t>Hotel EBITDA stabilization at $124-144M guided for 2026 after renovation program completion, with RevPAR growth of 3.5% outpacing the 1.4% industry forecast [1]</w:t>
      </w:r>
    </w:p>
    <w:p>
      <w:pPr>
        <w:spacing w:before="40" w:after="40"/>
        <w:ind w:left="283"/>
      </w:pPr>
      <w:r>
        <w:rPr>
          <w:rFonts w:ascii="Calibri" w:hAnsi="Calibri"/>
          <w:b/>
          <w:color w:val="4A6B25"/>
          <w:sz w:val="20"/>
        </w:rPr>
        <w:t xml:space="preserve">3. </w:t>
      </w:r>
      <w:r>
        <w:rPr>
          <w:rFonts w:ascii="Calibri" w:hAnsi="Calibri"/>
          <w:b w:val="0"/>
          <w:color w:val="3A4A28"/>
          <w:sz w:val="20"/>
        </w:rPr>
        <w:t>Net lease portfolio providing $380-386M guided NOI as a stable, predictable income base that could anchor a restructured, smaller REIT focused on service-focused retail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1,030% with ~$5B remaining debt creates ongoing refinancing risk and potential for further dilutive equity issuances — short interest of 17.3% reflects market expectation of continued deterioration [4]</w:t>
      </w:r>
    </w:p>
    <w:p>
      <w:pPr>
        <w:spacing w:before="40" w:after="40"/>
        <w:ind w:left="283"/>
      </w:pPr>
      <w:r>
        <w:rPr>
          <w:rFonts w:ascii="Calibri" w:hAnsi="Calibri"/>
          <w:b/>
          <w:color w:val="4A6B25"/>
          <w:sz w:val="20"/>
        </w:rPr>
        <w:t xml:space="preserve">2. </w:t>
      </w:r>
      <w:r>
        <w:rPr>
          <w:rFonts w:ascii="Calibri" w:hAnsi="Calibri"/>
          <w:b w:val="0"/>
          <w:color w:val="3A4A28"/>
          <w:sz w:val="20"/>
        </w:rPr>
        <w:t>Q1 2026 revenue declined 16.3% YoY with hotel revenue down 21% — continued hotel dispositions and the 2026 guidance being back-half loaded ($0.04 Q1 FFO/share vs $1.20-1.35 full year guided) create execution risk [1][3]</w:t>
      </w:r>
    </w:p>
    <w:p>
      <w:pPr>
        <w:spacing w:before="40" w:after="40"/>
        <w:ind w:left="283"/>
      </w:pPr>
      <w:r>
        <w:rPr>
          <w:rFonts w:ascii="Calibri" w:hAnsi="Calibri"/>
          <w:b/>
          <w:color w:val="4A6B25"/>
          <w:sz w:val="20"/>
        </w:rPr>
        <w:t xml:space="preserve">3. </w:t>
      </w:r>
      <w:r>
        <w:rPr>
          <w:rFonts w:ascii="Calibri" w:hAnsi="Calibri"/>
          <w:b w:val="0"/>
          <w:color w:val="3A4A28"/>
          <w:sz w:val="20"/>
        </w:rPr>
        <w:t>External management by RMR Group creates structural agency conflicts — base fees earned regardless of stock performance, and RMR's multi-REIT portfolio may divert management attention from SVC's turnaround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SVC's core business — owning and leasing physical hotel and retail properties — is structurally immune to AI disruption. Hotels require physical buildings, housekeeping, maintenance, and in-person guest services that AI cannot replace [2]. Net lease retail properties generate contractual rental income with long-term tenants regardless of technology changes. AI may modestly improve property management efficiency (dynamic room pricing, predictive maintenance), but cannot substitute for the physical real estate assets that generate revenue. The branded hotel portfolio (Sonesta, Hyatt, Radisson) competes on location and physical presence. AI Opportunity (0/1): SVC has no AI-related revenue streams or technology development capability. The company is a passive real estate owner externally managed by RMR Group, with no AI product offerings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Service Properties Trust Q1 2026 Earnings and FY2026 Guidance — $364M revenue, $500-520M Adj EBITDAre, $124-144M normalized FFO, $1.6B debt retired, $59M interest savings, May 2026</w:t>
      </w:r>
    </w:p>
    <w:p>
      <w:pPr>
        <w:spacing w:before="20" w:after="20"/>
        <w:ind w:left="170"/>
      </w:pPr>
      <w:r>
        <w:rPr>
          <w:rFonts w:ascii="Calibri" w:hAnsi="Calibri"/>
          <w:b/>
          <w:color w:val="4A6B25"/>
          <w:sz w:val="15"/>
        </w:rPr>
        <w:t xml:space="preserve">2. </w:t>
      </w:r>
      <w:r>
        <w:rPr>
          <w:rFonts w:ascii="Calibri" w:hAnsi="Calibri"/>
          <w:b w:val="0"/>
          <w:color w:val="3A4A28"/>
          <w:sz w:val="17"/>
        </w:rPr>
        <w:t>SVC Corporate Website / CEO Bilotto / RMR Group — externally managed REIT, 35+ years RMR experience, Bilotto insider purchases,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Seeking Alpha — 'Debt Crisis Overshadows Strategic Pivot,' equity offering analysis, Q1 2026 loss of $151M,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SVC financial statistics, $8.46 stock price, 1030% D/E, -38.6% ROE, 17.3% short interest,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