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SWZ</w:t>
      </w:r>
      <w:r>
        <w:rPr>
          <w:rFonts w:ascii="Calibri" w:hAnsi="Calibri"/>
          <w:b/>
          <w:color w:val="1A2010"/>
          <w:sz w:val="40"/>
        </w:rPr>
        <w:t xml:space="preserve">  Total Return Securities Fund</w:t>
      </w:r>
    </w:p>
    <w:p>
      <w:pPr>
        <w:spacing w:after="120"/>
      </w:pPr>
      <w:r>
        <w:rPr>
          <w:rFonts w:ascii="Calibri" w:hAnsi="Calibri"/>
          <w:b/>
          <w:color w:val="6E8450"/>
          <w:sz w:val="18"/>
        </w:rPr>
        <w:t>GROWTH SLEEVE · 2026-07-25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Closed-End Fund · NYSE · United States</w:t>
      </w:r>
    </w:p>
    <w:p>
      <w:pPr>
        <w:spacing w:after="80"/>
      </w:pPr>
      <w:r>
        <w:rPr>
          <w:rFonts w:ascii="Calibri" w:hAnsi="Calibri"/>
          <w:b w:val="0"/>
          <w:color w:val="3A4A28"/>
          <w:sz w:val="20"/>
        </w:rPr>
        <w:t>Total Return Securities Fund (formerly The Swiss Helvetia Fund) is a Delaware-registered closed-end investment company traded on the NYSE. Effective March 31, 2025, the fund changed its name from The Swiss Helvetia Fund and changed its investment objective to long-term total return [1]. Managed by Schroder Investment Management North America Inc., the fund historically focused on Swiss equities traded on the SIX Swiss Exchange. Market capitalization of approximately $76.9 million. The fund completed a tender offer in January 2026, accepting 4 million shares for payment at $6.81 per share [2].</w:t>
      </w:r>
    </w:p>
    <w:p>
      <w:r>
        <w:rPr>
          <w:rFonts w:ascii="Calibri" w:hAnsi="Calibri"/>
          <w:b/>
          <w:color w:val="6E8450"/>
          <w:sz w:val="18"/>
        </w:rPr>
        <w:t>https://totalreturnsecuritiesfund.com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fund executed a significant strategic pivot in March 2025, transforming from a single-country Swiss equity fund (The Swiss Helvetia Fund) to a broader total return mandate (Total Return Securities Fund) [1]. This name and objective change represents one modest repositioning effort, though its long-term success remains unproven and the fund's market cap has declined from historical levels. AI Deployment (0/2): No AI-powered investment tools, products, or quantified efficiency gains. Schroder Investment Management uses traditional investment processes. Market Share (0/2): At approximately $76.9M in market cap, SWZ is a micro-cap closed-end fund with negligible market share in the broader investment management industry [2]. Product Pipeline (0/2): No next-generation products or strategic initiatives announced with specific timelines. R&amp;D Intensity (0/1): Not applicable to fund management.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Total Return Securities Fund's investment objective — long-term total return — is the most generic possible fund objective, interchangeable with thousands of other investment vehicles. The fund does not articulate a distinctive purpose or vision beyond financial returns [1]. Community Impact (0/2): No evidence of charitable giving or community investment programs. Schroder Investment Management has corporate responsibility programs, but none specific to SWZ. Employee Retention (0/2): As a closed-end fund managed by Schroders, there is no distinct employee base to evaluate. Insider Buying (0/2): No evidence of meaningful insider buying by fund directors or Schroders executives in SWZ shares.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scored 0 due to the liquidity floor being triggered. SWZ trades on the NYSE at $5.93 with average daily volume of approximately 29,035-65,172 shares [2]. Even at the higher volume estimate, liquidity = 65,172 x $5.93 = $386,470, well below the $1,000,000 threshold required by the IOWN framework. Standard financial metrics (P/E, D/E, ROE, revenue growth, profit margin) are not applicable to a closed-end investment fund. The fund's market cap of $76.9M is tiny, and the January 2026 tender offer at $6.81/share (vs. current price of $5.93) suggests ongoing NAV erosion and market price deterioration since the tender. The fund traded at a persistent discount to NAV historically as the Swiss Helvetia Fund, a common problem for single-country closed-end funds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SWZ's transition from the Swiss Helvetia Fund to Total Return Securities Fund reveals a fund in identity crisis, pivoting from a distinctive single-country mandate to a generic total return approach. This is the opposite of infinite-game thinking — abandoning a 30+ year focused purpose in response to competitive pressure rather than in service of an enduring cause. The tender offer and declining market cap suggest a fund in managed decline rather than one built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Total Return Securities Fund exists to generate investment returns. The fund's original Swiss equity mandate was at least distinctive — providing U.S. investors specialized access to Swiss equities. The 2025 pivot to a generic 'total return' objective abandoned even that modest differentiation, replacing a specific identity with the most generic possible investment objective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As a closed-end fund managed externally by Schroder Investment Management, there is no distinct organizational team to evaluate. Portfolio management decisions are made by Schroders' investment team under the fund's board oversight. No evidence of exceptional or deficient trust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learning or an infinite mindset toward rivals. The strategic pivot from Swiss equity to total return appears reactive to the competitive landscape (Swiss equity ETFs offering lower-cost exposure) rather than motivated by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March 2025 transformation from The Swiss Helvetia Fund to Total Return Securities Fund — changing name, investment objective, and strategic mandate — represents meaningful strategic flexibility after 30+ years as a single-country fund [1]. This is a genuine pivot, though incremental rather than transformative, and appears driven by competitive necessity (persistent NAV discount, declining assets) rather than a Just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January 2026 tender offer at $6.81/share returned capital to shareholders, but tender offers are standard practice for closed-end funds trading at discounts — not courageous leadership. No evidence of management sacrificing near-term results for long-term capability building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SWZ offers NYSE-listed exposure to a diversified equity portfolio managed by Schroder Investment Management, with a 4.78% dividend yield and potential for NAV discount narrowing under the new Total Return Securities Fund mandate [1][2]. The January 2026 tender offer at $6.81/share demonstrated the board's willingness to return capital, and the pivot from a single-country Swiss mandate to a broader total return approach could attract a wider investor base and reduce the persistent NAV discount that plagued the Swiss Helvetia Fund for decades. At $5.93 per share, the fund trades at a meaningful discount to the tender offer price, suggesting potential value.</w:t>
      </w:r>
    </w:p>
    <w:p>
      <w:pPr>
        <w:spacing w:after="120"/>
      </w:pPr>
      <w:r>
        <w:rPr>
          <w:rFonts w:ascii="Calibri" w:hAnsi="Calibri"/>
          <w:b w:val="0"/>
          <w:color w:val="3A4A28"/>
          <w:sz w:val="20"/>
        </w:rPr>
        <w:t>However, SWZ faces severe structural challenges. The fund's $76.9M market cap and average daily volume below 70,000 shares make it deeply illiquid — the IOWN liquidity floor ($1M daily trading value) is not met, indicating insufficient volume for meaningful institutional positions [2]. The rebrand from Swiss Helvetia to Total Return Securities Fund has not arrested the decline, with shares falling from $6.81 (January 2026 tender) to $5.93 (July 2026), a 12.9% decline in six months. The name change from a distinctive Swiss equity focus to generic 'Total Return' may confuse existing shareholders without attracting new ones. As a fund rather than an operating company, SWZ is structurally incompatible with the IOWN framework, and the SELL rating reflects both this mismatch and genuine concerns about fund viability, liquidity, and strategic direction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execution of the Total Return Securities mandate generating NAV growth and attracting new investors, potentially narrowing the persistent discount to NAV [1]</w:t>
      </w:r>
    </w:p>
    <w:p>
      <w:pPr>
        <w:spacing w:before="40" w:after="40"/>
        <w:ind w:left="283"/>
      </w:pPr>
      <w:r>
        <w:rPr>
          <w:rFonts w:ascii="Calibri" w:hAnsi="Calibri"/>
          <w:b/>
          <w:color w:val="4A6B25"/>
          <w:sz w:val="20"/>
        </w:rPr>
        <w:t xml:space="preserve">2. </w:t>
      </w:r>
      <w:r>
        <w:rPr>
          <w:rFonts w:ascii="Calibri" w:hAnsi="Calibri"/>
          <w:b w:val="0"/>
          <w:color w:val="3A4A28"/>
          <w:sz w:val="20"/>
        </w:rPr>
        <w:t>Additional tender offers or activist involvement forcing capital returns and providing a price floor for shareholders [2]</w:t>
      </w:r>
    </w:p>
    <w:p>
      <w:pPr>
        <w:spacing w:before="40" w:after="40"/>
        <w:ind w:left="283"/>
      </w:pPr>
      <w:r>
        <w:rPr>
          <w:rFonts w:ascii="Calibri" w:hAnsi="Calibri"/>
          <w:b/>
          <w:color w:val="4A6B25"/>
          <w:sz w:val="20"/>
        </w:rPr>
        <w:t xml:space="preserve">3. </w:t>
      </w:r>
      <w:r>
        <w:rPr>
          <w:rFonts w:ascii="Calibri" w:hAnsi="Calibri"/>
          <w:b w:val="0"/>
          <w:color w:val="3A4A28"/>
          <w:sz w:val="20"/>
        </w:rPr>
        <w:t>Swiss equity market strength — if the fund retains meaningful Swiss holdings, a strong Swiss franc and robust pharma/industrial earnings could benefit NAV</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 illiquidity with avg_daily_volume x price of approximately $386K — well below the $1M IOWN liquidity floor — makes position entry and exit extremely difficult and creates wide bid-ask spreads [2]</w:t>
      </w:r>
    </w:p>
    <w:p>
      <w:pPr>
        <w:spacing w:before="40" w:after="40"/>
        <w:ind w:left="283"/>
      </w:pPr>
      <w:r>
        <w:rPr>
          <w:rFonts w:ascii="Calibri" w:hAnsi="Calibri"/>
          <w:b/>
          <w:color w:val="4A6B25"/>
          <w:sz w:val="20"/>
        </w:rPr>
        <w:t xml:space="preserve">2. </w:t>
      </w:r>
      <w:r>
        <w:rPr>
          <w:rFonts w:ascii="Calibri" w:hAnsi="Calibri"/>
          <w:b w:val="0"/>
          <w:color w:val="3A4A28"/>
          <w:sz w:val="20"/>
        </w:rPr>
        <w:t>Continued NAV erosion and market price decline — shares have fallen 12.9% since the January 2026 tender offer, suggesting the strategic pivot has not stabilized the fund [2]</w:t>
      </w:r>
    </w:p>
    <w:p>
      <w:pPr>
        <w:spacing w:before="40" w:after="40"/>
        <w:ind w:left="283"/>
      </w:pPr>
      <w:r>
        <w:rPr>
          <w:rFonts w:ascii="Calibri" w:hAnsi="Calibri"/>
          <w:b/>
          <w:color w:val="4A6B25"/>
          <w:sz w:val="20"/>
        </w:rPr>
        <w:t xml:space="preserve">3. </w:t>
      </w:r>
      <w:r>
        <w:rPr>
          <w:rFonts w:ascii="Calibri" w:hAnsi="Calibri"/>
          <w:b w:val="0"/>
          <w:color w:val="3A4A28"/>
          <w:sz w:val="20"/>
        </w:rPr>
        <w:t>Potential fund liquidation or merger risk if assets continue declining — at $76.9M market cap, the fund may become uneconomical for Schroders to manage, triggering forced liquidation at potentially depressed prices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PROTECTED. SWZ's underlying Swiss equity holdings include pharma giants (Novartis, Roche), industrial companies (ABB, Sika), and consumer staples (Nestle) — physical-world businesses with meaningful defensive moats against AI disruption. The closed-end fund structure itself is not directly threatened by AI, though quantitative AI-driven strategies could replicate factor-based Swiss equity exposure at lower cost. Schroder Investment Management's active management approach faces competitive pressure from passive Swiss equity ETFs. However, Swiss equities' concentration in pharma, industrials, and banking provides structural AI resilience through the underlying portfolio. AI Opportunity (0/1): No AI revenue. The fund does not generate revenue from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Total Return Securities Fund Corporate Communications — Name Change and Investment Objective Update, March 2025</w:t>
      </w:r>
    </w:p>
    <w:p>
      <w:pPr>
        <w:spacing w:before="20" w:after="20"/>
        <w:ind w:left="170"/>
      </w:pPr>
      <w:r>
        <w:rPr>
          <w:rFonts w:ascii="Calibri" w:hAnsi="Calibri"/>
          <w:b/>
          <w:color w:val="4A6B25"/>
          <w:sz w:val="15"/>
        </w:rPr>
        <w:t xml:space="preserve">2. </w:t>
      </w:r>
      <w:r>
        <w:rPr>
          <w:rFonts w:ascii="Calibri" w:hAnsi="Calibri"/>
          <w:b w:val="0"/>
          <w:color w:val="3A4A28"/>
          <w:sz w:val="17"/>
        </w:rPr>
        <w:t>StockAnalysis.com, Morningstar, and CNBC — SWZ Market Data, Volume, and Overview,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Schroders Investment Management — SWZ Fund FAQs and Information,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