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TCPC</w:t>
      </w:r>
      <w:r>
        <w:rPr>
          <w:rFonts w:ascii="Calibri" w:hAnsi="Calibri"/>
          <w:b/>
          <w:color w:val="1A2010"/>
          <w:sz w:val="40"/>
        </w:rPr>
        <w:t xml:space="preserve">  BlackRock TCP Capital Corp.</w:t>
      </w:r>
    </w:p>
    <w:p>
      <w:pPr>
        <w:spacing w:after="120"/>
      </w:pPr>
      <w:r>
        <w:rPr>
          <w:rFonts w:ascii="Calibri" w:hAnsi="Calibri"/>
          <w:b/>
          <w:color w:val="6E8450"/>
          <w:sz w:val="18"/>
        </w:rPr>
        <w:t>DIVIDEND SLEEVE · 2026-08-03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BlackRock TCP Capital Corp. is a business development company (BDC) specializing in direct equity and debt investments in middle-market companies. Invests primarily in senior secured loans, mezzanine debt, and junior capital across technology, healthcare, and business services sectors. Externally managed by BlackRock as part of its US Private Capital platform. Currently under federal scrutiny over valuation practices, with CEO Phil Tseng departing in mid-2026.</w:t>
      </w:r>
    </w:p>
    <w:p>
      <w:r>
        <w:rPr>
          <w:rFonts w:ascii="Calibri" w:hAnsi="Calibri"/>
          <w:b/>
          <w:color w:val="6E8450"/>
          <w:sz w:val="18"/>
        </w:rPr>
        <w:t>https://www.tcpcapital.com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No meaningful product launches, pivots, or business model transformations. The 2024 leadership transition to CEO Phil Tseng was supposed to represent organizational evolution, but Tseng is now departing during a federal valuation probe, unwinding any institutional progress [1][2]. AI Deployment (0/2): No AI-powered underwriting tools or AI-driven portfolio management disclosed. Parent BlackRock invests in AI (Aladdin platform), but TCPC itself shows no AI deployment [3]. Market Share (1/2): TCPC is a meaningful mid-market BDC within the BlackRock platform, though it competes in a fragmented space with 100+ publicly traded BDCs and holds no dominant position [1]. Product Pipeline (1/2): Integration into BlackRock's US Private Capital platform provides access to larger, more complex transactions and broader deal flow, though management stated it will focus on 'senior capital structures' amid the portfolio stress [1]. R&amp;D Intensity (0/1): BDCs do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TCPC's stated purpose is to provide flexible capital solutions to middle-market companies — a generic BDC mission interchangeable with dozens of peers, with no deeper vision of a better future [1]. Community Impact (0/2): No evidence of corporate philanthropy, community investment, or charitable programs specific to TCPC. Employee Retention (0/2): CEO Phil Tseng is departing during an ongoing federal valuation probe; CIO Rajneesh Vig departed in 2024 — two senior leadership exits in under two years indicates severe organizational instability [2][4]. Insider Buying (0/2): No evidence of meaningful insider buying. Multiple executive departures during a federal investigation signal the opposite of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TCPC's financial infrastructure is severely impaired. D/E of 164% is elevated but within BDC norms (target 70%, score 0.59) [5]. ROE of -18.74% and profit margin of -66.92% reflect realized and unrealized portfolio losses — NAV was slashed 19% in January 2026 and another 5% in May 2026, driving $126M in net losses over the trailing twelve months [1][2]. Revenue declined to $188.48M TTM, below the -20% floor. Forward P/E of 4.31 is the sole bright spot, reflecting extreme cheapness. The dividend has been cut from $0.44/quarter (Q4 2024) to $0.17/quarter (Q2 2026), a 61% reduction — consecutive years of growth = 0, 5yr dividend growth CAGR approximately -5% [5][6]. NAV per share of $6.72 as of Q1 2026 vs stock price of $3.33 = 0.48x book value. Altman Z-Score of -0.2 signals increased bankruptcy risk. Liquidity: 602K avg volume x $3.33 = $2.0M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TCPC is a deeply finite player. The company exists to generate quarterly income distributions for shareholders with no articulated Just Cause beyond capital deployment. The departure of CEO Phil Tseng during a federal valuation probe, following CIO Rajneesh Vig's 2024 exit, suggests leadership abandonment rather than stewardship. Repeated forced dividend cuts and persistent NAV erosion reflect a company reacting to circumstances rather than shaping its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TCPC's purpose is to provide capital to middle-market companies and generate income for shareholders — a functional description of any BDC, not a Just Cause. There is no articulated vision of a better future or purpose that would inspire sacrifice. The company exists to fill a capital markets gap, which is useful but not transcendent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senior leadership departures in under two years (CIO Vig 2024, CEO Tseng 2026), both during periods of portfolio stress, signal organizational instability [2][4]. The federal valuation probe creates maximum distrust between investors, management, and the external manager (BlackRock). The externally managed BDC structure inherently creates principal-agent conflicts between BlackRock's fee income and shareholder returns. Reports describe a 'command and control' management approach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BDC earnings calls focus on portfolio metrics and distribution coverage rather than competitive positioning relative to peers like Ares Capital, Blue Owl Capital, or Golub Capital.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TCPC evolved from independent TCP Capital to integration into the BlackRock platform, representing incremental strategic adaptation that provides access to the world's largest asset manager's resources and deal flow [1]. Management's focus on repositioning toward senior capital structures in response to credit stress shows some flexibility. However, this was driven by practical necessity (Tennenbaum Capital acquisition by BlackRock) and portfolio distress rather than a visionary pivot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Phil Tseng is departing during an active federal investigation into BlackRock's loan valuation practices — this is leadership exit under pressure, not courage [2][4]. The dividend cuts from $0.44 to $0.17 per quarter were forced by deteriorating NII and portfolio losses, not proactive strategic choices [6]. No examples of leadership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TCPC offers a deeply discounted entry into the BlackRock private credit platform at 0.48x book value ($3.33 vs $6.72 NAV) with a 21.62% current yield, making it a high-risk deep-value candidate if the portfolio stabilizes [5][6]. Q1 2026 NII of $0.22/share covered the $0.17 quarterly dividend with 129% NII coverage, suggesting the current distribution rate may be sustainable at lower levels [1]. The BlackRock platform provides institutional-quality deal flow, risk management infrastructure, and scale advantages that smaller standalone BDCs lack. If credit markets recover and the federal valuation probe resolves without material penalties, the 52% discount to NAV could narrow significantly.</w:t>
      </w:r>
    </w:p>
    <w:p>
      <w:pPr>
        <w:spacing w:after="120"/>
      </w:pPr>
      <w:r>
        <w:rPr>
          <w:rFonts w:ascii="Calibri" w:hAnsi="Calibri"/>
          <w:b w:val="0"/>
          <w:color w:val="3A4A28"/>
          <w:sz w:val="20"/>
        </w:rPr>
        <w:t>The bear case is severe and has intensified since last review. CEO Phil Tseng is departing during an active federal investigation by SDNY prosecutors into BlackRock's loan valuation practices, and a class action lawsuit has been filed on behalf of investors who purchased between November 2024 and January 2026, alleging materially false statements about the fund's business and prospects [2][4]. NAV has been slashed twice — 19% in January 2026 and 5% in May 2026 — and ROE of -18.74% indicates the portfolio is destroying shareholder value at an accelerating rate [1][5]. The dividend has been cut 61% from $0.44/quarter (Q4 2024) to $0.17/quarter, with further cuts probable if NII continues declining. The Altman Z-Score of -0.2 signals increased bankruptcy risk. In a rising default environment, TCPC's $925M in debt against portfolio companies facing stress — including 30.5% software exposure with AI disruption risk — could drive further writedowns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federal valuation probe without material penalties could restore investor confidence and narrow the 52% discount to NAV [2][4]</w:t>
      </w:r>
    </w:p>
    <w:p>
      <w:pPr>
        <w:spacing w:before="40" w:after="40"/>
        <w:ind w:left="283"/>
      </w:pPr>
      <w:r>
        <w:rPr>
          <w:rFonts w:ascii="Calibri" w:hAnsi="Calibri"/>
          <w:b/>
          <w:color w:val="4A6B25"/>
          <w:sz w:val="20"/>
        </w:rPr>
        <w:t xml:space="preserve">2. </w:t>
      </w:r>
      <w:r>
        <w:rPr>
          <w:rFonts w:ascii="Calibri" w:hAnsi="Calibri"/>
          <w:b w:val="0"/>
          <w:color w:val="3A4A28"/>
          <w:sz w:val="20"/>
        </w:rPr>
        <w:t>Q1 2026 NII of $0.22/share covering the $0.17 dividend at 129% suggests the reduced distribution may be sustainable, potentially stabilizing the yield floor [1]</w:t>
      </w:r>
    </w:p>
    <w:p>
      <w:pPr>
        <w:spacing w:before="40" w:after="40"/>
        <w:ind w:left="283"/>
      </w:pPr>
      <w:r>
        <w:rPr>
          <w:rFonts w:ascii="Calibri" w:hAnsi="Calibri"/>
          <w:b/>
          <w:color w:val="4A6B25"/>
          <w:sz w:val="20"/>
        </w:rPr>
        <w:t xml:space="preserve">3. </w:t>
      </w:r>
      <w:r>
        <w:rPr>
          <w:rFonts w:ascii="Calibri" w:hAnsi="Calibri"/>
          <w:b w:val="0"/>
          <w:color w:val="3A4A28"/>
          <w:sz w:val="20"/>
        </w:rPr>
        <w:t>BlackRock platform integration driving improved credit selection and portfolio recovery through access to institutional-quality deal flow and risk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SDNY investigation into BlackRock's loan valuation practices could result in material penalties, restatements, or additional NAV writedowns — the class action lawsuit compounds legal and financial exposure [2][4]</w:t>
      </w:r>
    </w:p>
    <w:p>
      <w:pPr>
        <w:spacing w:before="40" w:after="40"/>
        <w:ind w:left="283"/>
      </w:pPr>
      <w:r>
        <w:rPr>
          <w:rFonts w:ascii="Calibri" w:hAnsi="Calibri"/>
          <w:b/>
          <w:color w:val="4A6B25"/>
          <w:sz w:val="20"/>
        </w:rPr>
        <w:t xml:space="preserve">2. </w:t>
      </w:r>
      <w:r>
        <w:rPr>
          <w:rFonts w:ascii="Calibri" w:hAnsi="Calibri"/>
          <w:b w:val="0"/>
          <w:color w:val="3A4A28"/>
          <w:sz w:val="20"/>
        </w:rPr>
        <w:t>Further dividend cuts are probable if NII continues declining or credit losses accelerate — the 61% dividend reduction from Q4 2024 to Q2 2026 may not be the bottom [6]</w:t>
      </w:r>
    </w:p>
    <w:p>
      <w:pPr>
        <w:spacing w:before="40" w:after="40"/>
        <w:ind w:left="283"/>
      </w:pPr>
      <w:r>
        <w:rPr>
          <w:rFonts w:ascii="Calibri" w:hAnsi="Calibri"/>
          <w:b/>
          <w:color w:val="4A6B25"/>
          <w:sz w:val="20"/>
        </w:rPr>
        <w:t xml:space="preserve">3. </w:t>
      </w:r>
      <w:r>
        <w:rPr>
          <w:rFonts w:ascii="Calibri" w:hAnsi="Calibri"/>
          <w:b w:val="0"/>
          <w:color w:val="3A4A28"/>
          <w:sz w:val="20"/>
        </w:rPr>
        <w:t>CEO departure during the valuation probe leaves a leadership vacuum at a critical moment, while the external management structure creates inherent conflicts between BlackRock's fee income ($925M deployed at management fees) and shareholder returns during portfolio stress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TCPC's core business of middle-market direct lending involves human-intensive credit underwriting, relationship-driven deal sourcing, and complex covenant negotiation that AI cannot easily replicate [1]. BDC lending requires judgment on bespoke situations — distressed credits, sponsor relationships, bilateral deal structures — that are structurally protected from AI commoditization. However, software exposure represents 30.5% of the portfolio at fair value, and management has flagged AI-related disruption as a specific risk factor for underlying portfolio companies [1]. AI-driven fintech lending platforms could also compress BDC lending spreads over time. AI Opportunity (0/1): TCPC generates no revenue from AI products or services — it is purely a financial intermediary investing in middle-market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TCP Capital Q1 2026 Earnings Release — NII $0.22/share, NAV $6.72/share,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BlackRock TCP Capital CEO Exit During Valuation Probe — Benzinga / Angel Investors Network, July 2026</w:t>
      </w:r>
    </w:p>
    <w:p>
      <w:pPr>
        <w:spacing w:before="20" w:after="20"/>
        <w:ind w:left="170"/>
      </w:pPr>
      <w:r>
        <w:rPr>
          <w:rFonts w:ascii="Calibri" w:hAnsi="Calibri"/>
          <w:b/>
          <w:color w:val="4A6B25"/>
          <w:sz w:val="15"/>
        </w:rPr>
        <w:t xml:space="preserve">3. </w:t>
      </w:r>
      <w:r>
        <w:rPr>
          <w:rFonts w:ascii="Calibri" w:hAnsi="Calibri"/>
          <w:b w:val="0"/>
          <w:color w:val="3A4A28"/>
          <w:sz w:val="17"/>
        </w:rPr>
        <w:t>BlackRock AI Strategy and Aladdin Platform — BlackRock corporate,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BlackRock TCP Capital Major Personnel Changes — BDC Reporter / Morningstar, 2024-2026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TCPC Statistics &amp; Valuation,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TCPC Dividend History,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Rosen Law Firm Class Action — BusinessWire,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