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TISI</w:t>
      </w:r>
      <w:r>
        <w:rPr>
          <w:rFonts w:ascii="Calibri" w:hAnsi="Calibri"/>
          <w:b/>
          <w:color w:val="1A2010"/>
          <w:sz w:val="40"/>
        </w:rPr>
        <w:t xml:space="preserve">  Team, Inc.</w:t>
      </w:r>
    </w:p>
    <w:p>
      <w:pPr>
        <w:spacing w:after="120"/>
      </w:pPr>
      <w:r>
        <w:rPr>
          <w:rFonts w:ascii="Calibri" w:hAnsi="Calibri"/>
          <w:b/>
          <w:color w:val="6E8450"/>
          <w:sz w:val="18"/>
        </w:rPr>
        <w:t>GROWTH SLEEVE · 2026-08-21 · Inspire: 49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Team, Inc. provides specialty industrial services including mechanical, heat-treating, and inspection services globally through its TEAM360 platform. The company operates in two segments: Inspection &amp; Heat Treating (IHT) and Mechanical Services (MS), serving refining, petrochemical, power generation, aerospace, mining, and pipeline industries across 13 countries. Q2 2026 revenue was $228.7M with a net loss of $6.8M. Full-year 2026 guidance reaffirmed at $920-945M revenue with $68-73M Adjusted EBITDA.</w:t>
      </w:r>
    </w:p>
    <w:p>
      <w:r>
        <w:rPr>
          <w:rFonts w:ascii="Calibri" w:hAnsi="Calibri"/>
          <w:b/>
          <w:color w:val="6E8450"/>
          <w:sz w:val="18"/>
        </w:rPr>
        <w:t>5,300 Employees · https://www.teaminc.com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Team's business model has been fundamentally unchanged for decades — the company provides inspection, heat treating, and mechanical services to industrial customers with no meaningful product launches or market pivots in the last five years. The rebranding of service lines under TEAM360 is marketing, not innovation [1]. Q2 2026 earnings call highlighted a 'strategic shift' but this refers to customer mix optimization, not product innovation. AI Deployment (0/2): No evidence of AI-powered products or quantified AI-driven cost savings. The ONEINSIGHT connected worker platform provides digital field service management but is not AI in a meaningful revenue-generating sense [2]. Market Share (1/2): Team is a meaningful player in North American industrial services with $893M TTM revenue and operations in 13 countries, but is not a category leader — the company competes against larger players like Mistras Group and Bureau Veritas without evidence of share gains [1]. Pipeline (0/2): No next-generation products announced. The 2026 strategy focuses on 'accelerating commercial execution' in existing service lines, particularly aerospace and power markets [1]. R&amp;D Intensity (0/1): Industrial services companies have inherently low R&amp;D intensity; capex is directed at maintenance rather than product development.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Team positions itself as 'The Leading Global Asset Integrity &amp; Performance 360 Solutions Provider,' which is generic corporate language interchangeable with any industrial services peer — it describes what the company does, not why it exists [2]. Community Impact (1/2): Team publishes biennial ESG/sustainability profiles and emphasizes emissions reduction through Detect360 leak detection services. The company operates a TEAM Technical School for employee development [3]. However, no distinctive community programs, foundation activity, or specific dollar amounts for charitable giving are evident. Employee Retention (0/2): Glassdoor reviews describe mixed culture with complaints about management direction and communication [4]. No publicly available data on voluntary turnover or average tenure. The January 2026 CEO transition from Keith Tucker (20+ years) to Gary Hill adds organizational uncertainty. Insider Buying (1/2): Director Evan Lederman purchased 600 shares in May 2026 at $16.31 and other officers purchased shares during early 2026 [4]. The amounts are small but signal some leadership confidence in the turnaround.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Infrastructure score is 0 due to the liquidity floor rule: average daily volume of 29,671 shares x $22.80 stock price = $676,498 daily dollar volume, below the $1,000,000 minimum threshold [5]. Even excluding the liquidity floor, the underlying metrics are severely distressed. D/E of 4,620% reflects $376M total debt against only $8.14M stockholders' equity — an extreme leverage position despite the $75M preferred stock issuance that modestly improved equity from negative to barely positive [1][5]. ROE is not meaningfully calculable (-$42.7M net loss / $8.14M equity = -525%). Profit margin is -4.78% TTM with recurring net losses ($52.7M in FY2025, $42.7M TTM) [5]. Revenue growth is a modest 2.6% TTM to $893.5M. Q2 2026 revenue declined to $228.7M from $248M with Adjusted EBITDA falling 48% to $12.8M (5.6% margin vs 9.9%) due to Middle East conflict impacting turnaround activity [1]. Full-year 2026 guidance of $920-945M revenue with $68-73M Adjusted EBITDA was reaffirmed but results expected in the lower half.</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Team has a 50+ year heritage dating to the 1920s Furmanite legacy, but the company has spent the last decade in financial distress — navigating massive debt loads, recurring net losses, and leadership transitions. The January 2026 CEO transition from Keith Tucker to Gary Hill and the Q2 2026 'strategic shift amid market headwinds' reflect finite-game survival mode rather than infinite-game purpose. The focus on quarterly turnaround metrics, debt management, and Adjusted EBITDA guidance dominates the narrative.</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Team's stated purpose — 'asset integrity and performance optimization' — describes a service offering, not a Just Cause [2]. It is functional language about what the company does, not an aspirational vision of a better future that inspires sacrifice. The company's safety-critical work protecting industrial infrastructure from catastrophic failures carries implicit purpose, but management does not articulate this as a cause — strategic communications center on financial recovery and 'accelerating commercial execution' [1].</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Team's 5,300 employees operate across 13 countries, and the orderly CEO transition from Keith Tucker (20+ years) to Gary Hill suggests organizational stability [1]. The TEAM Technical School provides structured employee development. However, Glassdoor reviews raise concerns about management quality, communication, and cultural direction [4]. No employee satisfaction data or voluntary turnover rates are publicly available. The ongoing financial distress and restructuring create organizational uncertainty that likely undermines psychological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Team's competitive language focuses on being 'the leading global provider' and market positioning rather than learning from rivals' strengths [2]. The company competes against Mistras Group, Bureau Veritas, and Intertek but does not publicly acknowledge competitors' strengths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Team has evolved from its original Furmanite leak-sealing heritage into a broader industrial services platform, integrating inspection, heat treating, and mechanical services under the TEAM360 brand [2]. The strategic push into aerospace and power generation markets represents adjacent-market expansion. However, these are incremental evolutions of the same industrial services business model, not transformative pivots. The company has not fundamentally reinvented itself.</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New CEO Gary Hill is navigating Team through market headwinds including Middle East conflict impacting turnaround activity, while reaffirming full-year 2026 guidance despite Q2 revenue decline of 7.8% [1]. The $75M preferred stock issuance and debt reduction with Stellex Capital Management demonstrated willingness to accept dilution for balance sheet improvement. However, these are survival moves rather than courageous long-term investments — the company has generated net losses in 4 of the last 5 years and the balance sheet remains deeply distressed at 4,620% D/E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Team Inc. offers a turnaround narrative backed by essential, AI-immune industrial services with full-year 2026 guidance of $920-945M revenue and $68-73M Adjusted EBITDA [1]. The stock has rallied 37% from $16.68 to $22.80, reflecting improving sentiment as Q1 2026 delivered 8.3% revenue growth and a narrowed net loss. New CEO Gary Hill brings fresh strategic focus on higher-margin aerospace and power generation markets. The company's physical services — inspection, heat treating, and mechanical repair of critical infrastructure — are virtually immune to AI disruption and benefit from aging industrial assets requiring ongoing maintenance. The Inspire Insight score of 49 with 14 positive ESG attributions reflects strong environmental alignment through emissions detection services [3].</w:t>
      </w:r>
    </w:p>
    <w:p>
      <w:pPr>
        <w:spacing w:after="120"/>
      </w:pPr>
      <w:r>
        <w:rPr>
          <w:rFonts w:ascii="Calibri" w:hAnsi="Calibri"/>
          <w:b w:val="0"/>
          <w:color w:val="3A4A28"/>
          <w:sz w:val="20"/>
        </w:rPr>
        <w:t>The bear case is dominated by a catastrophically overleveraged balance sheet and severe illiquidity. D/E of 4,620% with $376M total debt against only $8.14M stockholders' equity represents existential leverage risk — any revenue shortfall could trigger covenant violations or liquidity crisis [5]. The stock is essentially uninvestable for IOWN due to extreme illiquidity — average daily volume of 29,671 shares produces only $676K in daily dollar volume, below the $1M minimum threshold, making position entry and exit at scale impossible. Q2 2026 deteriorated sharply with revenue falling 7.8% to $228.7M and Adjusted EBITDA plunging 48% to $12.8M as Middle East conflict deferred turnaround activity [1]. Net losses persist ($42.7M TTM, $6.8M in Q2 alone). The $75M preferred stock issuance adds dilution risk to an already complex capital structure. Revenue growth of ~4% at guidance midpoint barely outpaces inflation, and the company guided to the lower half of ranges. Until liquidity improves by an order of magnitude and the balance sheet is materially de-risked, Team remains a speculative turnaround play unsuitable for IOWN.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Full-year 2026 guidance of $68-73M Adjusted EBITDA represents 16% growth, with potential margin expansion as cost reduction initiatives take hold under new CEO Gary Hill [1]</w:t>
      </w:r>
    </w:p>
    <w:p>
      <w:pPr>
        <w:spacing w:before="40" w:after="40"/>
        <w:ind w:left="283"/>
      </w:pPr>
      <w:r>
        <w:rPr>
          <w:rFonts w:ascii="Calibri" w:hAnsi="Calibri"/>
          <w:b/>
          <w:color w:val="4A6B25"/>
          <w:sz w:val="20"/>
        </w:rPr>
        <w:t xml:space="preserve">2. </w:t>
      </w:r>
      <w:r>
        <w:rPr>
          <w:rFonts w:ascii="Calibri" w:hAnsi="Calibri"/>
          <w:b w:val="0"/>
          <w:color w:val="3A4A28"/>
          <w:sz w:val="20"/>
        </w:rPr>
        <w:t>Strategic expansion into aerospace and power generation markets could diversify revenue beyond cyclical refining and petrochemical customers and improve margin profile [1]</w:t>
      </w:r>
    </w:p>
    <w:p>
      <w:pPr>
        <w:spacing w:before="40" w:after="40"/>
        <w:ind w:left="283"/>
      </w:pPr>
      <w:r>
        <w:rPr>
          <w:rFonts w:ascii="Calibri" w:hAnsi="Calibri"/>
          <w:b/>
          <w:color w:val="4A6B25"/>
          <w:sz w:val="20"/>
        </w:rPr>
        <w:t xml:space="preserve">3. </w:t>
      </w:r>
      <w:r>
        <w:rPr>
          <w:rFonts w:ascii="Calibri" w:hAnsi="Calibri"/>
          <w:b w:val="0"/>
          <w:color w:val="3A4A28"/>
          <w:sz w:val="20"/>
        </w:rPr>
        <w:t>Debt reduction from $75M preferred stock proceeds lowered total debt and could be followed by additional de-leveraging if EBITDA growth continues through H2 2026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Extreme illiquidity with average daily volume of only 29,671 shares ($676K daily dollar volume) makes the stock untradeable for institutional investors and creates severe execution risk on any IOWN position [5]</w:t>
      </w:r>
    </w:p>
    <w:p>
      <w:pPr>
        <w:spacing w:before="40" w:after="40"/>
        <w:ind w:left="283"/>
      </w:pPr>
      <w:r>
        <w:rPr>
          <w:rFonts w:ascii="Calibri" w:hAnsi="Calibri"/>
          <w:b/>
          <w:color w:val="4A6B25"/>
          <w:sz w:val="20"/>
        </w:rPr>
        <w:t xml:space="preserve">2. </w:t>
      </w:r>
      <w:r>
        <w:rPr>
          <w:rFonts w:ascii="Calibri" w:hAnsi="Calibri"/>
          <w:b w:val="0"/>
          <w:color w:val="3A4A28"/>
          <w:sz w:val="20"/>
        </w:rPr>
        <w:t>Catastrophic leverage at 4,620% D/E with $376M debt against $8.14M stockholders' equity — Q2 2026 revenue decline and EBITDA compression demonstrate how quickly operating performance can deteriorate and threaten debt covenants [1][5]</w:t>
      </w:r>
    </w:p>
    <w:p>
      <w:pPr>
        <w:spacing w:before="40" w:after="40"/>
        <w:ind w:left="283"/>
      </w:pPr>
      <w:r>
        <w:rPr>
          <w:rFonts w:ascii="Calibri" w:hAnsi="Calibri"/>
          <w:b/>
          <w:color w:val="4A6B25"/>
          <w:sz w:val="20"/>
        </w:rPr>
        <w:t xml:space="preserve">3. </w:t>
      </w:r>
      <w:r>
        <w:rPr>
          <w:rFonts w:ascii="Calibri" w:hAnsi="Calibri"/>
          <w:b w:val="0"/>
          <w:color w:val="3A4A28"/>
          <w:sz w:val="20"/>
        </w:rPr>
        <w:t>Middle East conflict and geopolitical uncertainty continues to defer maintenance and turnaround activity at key customer facilities, with management acknowledging uncertainty around timing of rebound — full-year results expected in lower half of guidance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Team's core business — on-site industrial inspection, heat treating, leak repair, and mechanical services — is fundamentally physical work that AI cannot replace [2]. Certified inspectors must physically access pipes, pressure vessels, and heat exchangers in refineries and petrochemical plants. NDE certifications, hands-on expertise, and presence in hazardous environments are requirements that no AI or robotic system can currently replicate at scale. Regulatory requirements (ASME, API, NDE codes) mandate human-performed inspections for critical infrastructure. AI may enhance inspection accuracy through computer vision-assisted defect detection, but this augments rather than replaces Team's workforce. The physical, regulated, and safety-critical nature of these services provides near-total immunity to AI disruption. AI Opportunity (0/1): Team does not generate revenue from AI products. The ONEINSIGHT platform is a digital field management tool, not an AI product, and no AI-driven revenue has been reported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Team, Inc. Q2 2026 Earnings Release and Earnings Call — revenue $228.7M, net loss $6.8M, guidance reaffirmed, Stock Titan / Motley Fool, August 2026</w:t>
      </w:r>
    </w:p>
    <w:p>
      <w:pPr>
        <w:spacing w:before="20" w:after="20"/>
        <w:ind w:left="170"/>
      </w:pPr>
      <w:r>
        <w:rPr>
          <w:rFonts w:ascii="Calibri" w:hAnsi="Calibri"/>
          <w:b/>
          <w:color w:val="4A6B25"/>
          <w:sz w:val="15"/>
        </w:rPr>
        <w:t xml:space="preserve">2. </w:t>
      </w:r>
      <w:r>
        <w:rPr>
          <w:rFonts w:ascii="Calibri" w:hAnsi="Calibri"/>
          <w:b w:val="0"/>
          <w:color w:val="3A4A28"/>
          <w:sz w:val="17"/>
        </w:rPr>
        <w:t>Team, Inc. Company Website — TEAM360 platform, mission statement, ONEINSIGHT digital platform, services overview,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Team, Inc. ESG/Sustainability Profile 2023-2024 — environmental commitments, emissions reduction, TEAM Technical School, PR Newswire</w:t>
      </w:r>
    </w:p>
    <w:p>
      <w:pPr>
        <w:spacing w:before="20" w:after="20"/>
        <w:ind w:left="170"/>
      </w:pPr>
      <w:r>
        <w:rPr>
          <w:rFonts w:ascii="Calibri" w:hAnsi="Calibri"/>
          <w:b/>
          <w:color w:val="4A6B25"/>
          <w:sz w:val="15"/>
        </w:rPr>
        <w:t xml:space="preserve">4. </w:t>
      </w:r>
      <w:r>
        <w:rPr>
          <w:rFonts w:ascii="Calibri" w:hAnsi="Calibri"/>
          <w:b w:val="0"/>
          <w:color w:val="3A4A28"/>
          <w:sz w:val="17"/>
        </w:rPr>
        <w:t>Glassdoor Reviews and SEC Insider Transaction Filings — employee sentiment, Lederman purchase May 2026, CEO transition, 2026</w:t>
      </w:r>
    </w:p>
    <w:p>
      <w:pPr>
        <w:spacing w:before="20" w:after="20"/>
        <w:ind w:left="170"/>
      </w:pPr>
      <w:r>
        <w:rPr>
          <w:rFonts w:ascii="Calibri" w:hAnsi="Calibri"/>
          <w:b/>
          <w:color w:val="4A6B25"/>
          <w:sz w:val="15"/>
        </w:rPr>
        <w:t xml:space="preserve">5. </w:t>
      </w:r>
      <w:r>
        <w:rPr>
          <w:rFonts w:ascii="Calibri" w:hAnsi="Calibri"/>
          <w:b w:val="0"/>
          <w:color w:val="3A4A28"/>
          <w:sz w:val="17"/>
        </w:rPr>
        <w:t>StockAnalysis.com — TISI Stock Price $22.80, Market Cap $104.5M, Financials, Balance Sheet,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