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TKC</w:t>
      </w:r>
      <w:r>
        <w:rPr>
          <w:rFonts w:ascii="Calibri" w:hAnsi="Calibri"/>
          <w:b/>
          <w:color w:val="1A2010"/>
          <w:sz w:val="40"/>
        </w:rPr>
        <w:t xml:space="preserve">  Turkcell Iletisim Hizmetleri A.S.</w:t>
      </w:r>
    </w:p>
    <w:p>
      <w:pPr>
        <w:spacing w:after="120"/>
      </w:pPr>
      <w:r>
        <w:rPr>
          <w:rFonts w:ascii="Calibri" w:hAnsi="Calibri"/>
          <w:b/>
          <w:color w:val="6E8450"/>
          <w:sz w:val="18"/>
        </w:rPr>
        <w:t>DIVIDEND SLEEVE · 2026-08-06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Services · NYSE · Turkey</w:t>
      </w:r>
    </w:p>
    <w:p>
      <w:pPr>
        <w:spacing w:after="80"/>
      </w:pPr>
      <w:r>
        <w:rPr>
          <w:rFonts w:ascii="Calibri" w:hAnsi="Calibri"/>
          <w:b w:val="0"/>
          <w:color w:val="3A4A28"/>
          <w:sz w:val="20"/>
        </w:rPr>
        <w:t>Turkcell Iletisim Hizmetleri A.S. is Turkey's largest mobile operator and a leading digital services provider. The company offers mobile, fixed broadband, IPTV, and digital services to over 40 million subscribers. Turkcell launched 5G services nationwide on March 31, 2026 and is expanding into data centers, cloud computing, and AI-enabled digital services. Trades on NYSE as an ADR (TKC) with a $5.07B market cap.</w:t>
      </w:r>
    </w:p>
    <w:p>
      <w:r>
        <w:rPr>
          <w:rFonts w:ascii="Calibri" w:hAnsi="Calibri"/>
          <w:b/>
          <w:color w:val="6E8450"/>
          <w:sz w:val="18"/>
        </w:rPr>
        <w:t>23,000 Employees · https://www.turkcell.com.tr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Turkcell successfully launched 5G services nationwide on March 31, 2026, representing a transformational infrastructure upgrade [1]. Digital business services revenue surged 64% YoY in Q1 2026, and the company is actively expanding its data center and cloud business with a target of $100M EBITDA and sixfold USD revenue increase by 2032 [1][2]. AI Deployment (1/2): CEO Dr. Ali Taha Koç has positioned AI as one of four foundational strategic pillars since establishing 'Artificial Intelligence Principles' in 2020, calling AI 'the greatest innovation since the internet' [3]. However, no specific quantified AI-driven revenue or cost savings were reported. Market Share (2/2): Turkey's largest mobile operator with dominant market share across mobile, fixed broadband, and digital services, serving over 40 million subscribers [1]. Product Pipeline (1/2): Specific near-term pipeline includes 5G network buildout with 25% CapEx intensity, data center capacity doubling from 50MW to 100MW by 2032, and data center/cloud revenue growth target of 18-20% in 2026 [2]. R&amp;D Intensity (0/1): No evidence of R&amp;D spending significantly above telecom industry averages.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Turkcell's purpose centers on connecting Turkey and driving digital transformation through technology — clear about what the company does and differentiates by its Turkey-centric focus, but does not articulate a deeper idealistic purpose beyond serving its national market [5]. Community Impact (1/2): Ranked #1 globally in ESG among 286 telecom operators by LSEG, operates on 100% renewable energy, and is the first carbon-neutral telecom in Turkey [4]. These are significant commitments, though they are primarily environmental rather than community/charitable programs. Employee Retention (0/2): Glassdoor reviews describe a 'highly corporate and hierarchical' organization with 'rigid processes' and 'ownership spread across many layers,' suggesting organizational culture challenges rather than exceptional retention [3]. Insider Buying (0/2): No evidence of meaningful net insider buying by CEO or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dividend metrics. D/E of 74.59% is near the 70% target, reflecting moderate leverage appropriate for a capital-intensive telecom [6]. Forward P/E of 8.73 is well below the 20 target, offering attractive valuation. ROE of 7.94% is below the 15% target but positive. Revenue growth of 8.9% YoY in Q1 2026 is just below the 10% target [1]. Profit margin of 7.37% is below the 20% target, reflecting telecom industry cost structures [6]. Payout ratio above 100% scores floor due to reported ratios of 120-149%, though the company's stated policy is 20-25% of distributable income under Turkish law [7]. Consecutive dividend payments of approximately 8 years and 5-year dividend growth CAGR of 58% (driven partly by nominal TL growth amid high Turkish inflation) provide strong dividend history scores. Liquidity check: ~500,000 avg daily volume × $5.89 = ~$2.9M, above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Turkcell operates with a finite mindset characterized by hierarchical corporate culture, recent leadership transitions, and competitive language focused on maintaining Turkey's #1 position rather than serving a deeper purpose. The company demonstrates some strategic vision through its 5G and data center investments, but organizational rigidity and governance complexity (majority owned by Turkey Wealth Fund) limit infinite game potential.</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Turkcell's purpose of connecting Turkey and driving digital transformation is operationally clear but lacks the idealistic, service-oriented quality of a true Just Cause. The mission is tied to national infrastructure development rather than a bold vision of a future state. Ownership by the Turkey Wealth Fund and recent CEO changes suggest the company's direction is driven more by national economic strategy than by a self-sustaining organizational purpose [3][5].</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describe a 'highly corporate and hierarchical' organization where 'processes are rigid, innovation takes time, and ownership is often spread across many layers' [3]. This evidence points to a bureaucratic culture that limits psychological safety and employee empowerment. The tension between 'legacy telecom engineers and new AI hires' further suggests internal friction rather than cohesion.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Turkcell's competitive positioning emphasizes being Turkey's #1 operator and achieving market leadership, which is finite competitive language focused on winning rather than improving. No evidence of management commentary acknowledging competitors' strengths or using competitive pressure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Turkcell has incrementally evolved from a pure mobile operator into a diversified digital services company — adding data centers, cloud computing, fintech (Paycell), and digital entertainment alongside its core telecom business [1][2]. The 5G launch and data center expansion represent meaningful strategic evolution. However, these are additive extensions rather than transformative reinventions — the company has not fundamentally abandoned a core business in service of a larger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Turkcell has committed significant capital to long-term infrastructure — 25% CapEx intensity for 5G buildout, data center capacity doubling, and achieving 100% renewable energy with carbon-neutral operations [2][4]. These investments sacrifice near-term earnings for long-term capability. However, leadership instability (multiple CEO changes in recent years) and government ownership influence raise questions about whether these decisions reflect principled long-term thinking or directed national policy.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Turkcell offers compelling value at 8.73x forward earnings with Turkey's largest telecom franchise, a newly launched 5G network, and a rapidly growing data center business targeting $100M EBITDA and 18-20% revenue growth in 2026 [1][2]. Q1 2026 revenue grew 8.9% with net profit up 14.9%, and the digital business services segment surging 64% demonstrates successful diversification beyond legacy telecom. The company's #1 global ESG ranking among telecoms, 100% renewable energy usage, and carbon-neutral operations provide governance quality signals. At a $5.07B market cap with ~3% dividend yield, TKC offers a combination of value, growth optionality (5G, data centers), and income [4][6].</w:t>
      </w:r>
    </w:p>
    <w:p>
      <w:pPr>
        <w:spacing w:after="120"/>
      </w:pPr>
      <w:r>
        <w:rPr>
          <w:rFonts w:ascii="Calibri" w:hAnsi="Calibri"/>
          <w:b w:val="0"/>
          <w:color w:val="3A4A28"/>
          <w:sz w:val="20"/>
        </w:rPr>
        <w:t>The bear case centers on Turkey macro risk and governance complexity. Turkish lira volatility (massive depreciation from ~7 TL/USD in 2020 to ~38 TL/USD in 2026) erodes USD-denominated returns regardless of operational performance — the 8.9% revenue growth in TL terms may translate to flat or negative USD growth after currency adjustment. Majority ownership by the Turkey Wealth Fund introduces political governance risk, and multiple CEO changes in recent years signal leadership instability. The payout ratio exceeding 100% on reported metrics raises dividend sustainability questions despite the company's stated 20-25% distributable income policy [7]. Profit margins of 7.37% are thin by global telecom standards, and the 25% CapEx intensity for 5G will pressure free cash flow for several years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5G network launched March 2026 with potential to drive ARPU growth as subscribers upgrade to higher-value 5G plans across Turkey's 40M+ subscriber base</w:t>
      </w:r>
    </w:p>
    <w:p>
      <w:pPr>
        <w:spacing w:before="40" w:after="40"/>
        <w:ind w:left="283"/>
      </w:pPr>
      <w:r>
        <w:rPr>
          <w:rFonts w:ascii="Calibri" w:hAnsi="Calibri"/>
          <w:b/>
          <w:color w:val="4A6B25"/>
          <w:sz w:val="20"/>
        </w:rPr>
        <w:t xml:space="preserve">2. </w:t>
      </w:r>
      <w:r>
        <w:rPr>
          <w:rFonts w:ascii="Calibri" w:hAnsi="Calibri"/>
          <w:b w:val="0"/>
          <w:color w:val="3A4A28"/>
          <w:sz w:val="20"/>
        </w:rPr>
        <w:t>Data center and cloud business scaling toward $100M EBITDA target with 18-20% revenue growth in 2026, positioning Turkcell as Turkey's leading AI infrastructure provider</w:t>
      </w:r>
    </w:p>
    <w:p>
      <w:pPr>
        <w:spacing w:before="40" w:after="40"/>
        <w:ind w:left="283"/>
      </w:pPr>
      <w:r>
        <w:rPr>
          <w:rFonts w:ascii="Calibri" w:hAnsi="Calibri"/>
          <w:b/>
          <w:color w:val="4A6B25"/>
          <w:sz w:val="20"/>
        </w:rPr>
        <w:t xml:space="preserve">3. </w:t>
      </w:r>
      <w:r>
        <w:rPr>
          <w:rFonts w:ascii="Calibri" w:hAnsi="Calibri"/>
          <w:b w:val="0"/>
          <w:color w:val="3A4A28"/>
          <w:sz w:val="20"/>
        </w:rPr>
        <w:t>Digital business services segment growing 64% YoY could become a meaningful revenue diversifier, reducing dependence on legacy telecom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Turkish lira depreciation from ~7 to ~38 TL/USD over five years systematically erodes USD-denominated returns for ADR investors, masking operational performance</w:t>
      </w:r>
    </w:p>
    <w:p>
      <w:pPr>
        <w:spacing w:before="40" w:after="40"/>
        <w:ind w:left="283"/>
      </w:pPr>
      <w:r>
        <w:rPr>
          <w:rFonts w:ascii="Calibri" w:hAnsi="Calibri"/>
          <w:b/>
          <w:color w:val="4A6B25"/>
          <w:sz w:val="20"/>
        </w:rPr>
        <w:t xml:space="preserve">2. </w:t>
      </w:r>
      <w:r>
        <w:rPr>
          <w:rFonts w:ascii="Calibri" w:hAnsi="Calibri"/>
          <w:b w:val="0"/>
          <w:color w:val="3A4A28"/>
          <w:sz w:val="20"/>
        </w:rPr>
        <w:t>Turkey Wealth Fund majority ownership and multiple recent CEO transitions create governance uncertainty and risk of politically influenced capital allocation decisions</w:t>
      </w:r>
    </w:p>
    <w:p>
      <w:pPr>
        <w:spacing w:before="40" w:after="40"/>
        <w:ind w:left="283"/>
      </w:pPr>
      <w:r>
        <w:rPr>
          <w:rFonts w:ascii="Calibri" w:hAnsi="Calibri"/>
          <w:b/>
          <w:color w:val="4A6B25"/>
          <w:sz w:val="20"/>
        </w:rPr>
        <w:t xml:space="preserve">3. </w:t>
      </w:r>
      <w:r>
        <w:rPr>
          <w:rFonts w:ascii="Calibri" w:hAnsi="Calibri"/>
          <w:b w:val="0"/>
          <w:color w:val="3A4A28"/>
          <w:sz w:val="20"/>
        </w:rPr>
        <w:t>25% CapEx intensity for 5G buildout will compress free cash flow for 2-3 years, potentially straining the already elevated payout ratio of 120%+ and threatening dividend sustainability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Turkcell's core business — operating Turkey's largest mobile network, fiber infrastructure, and data centers — involves physical assets (cell towers, spectrum licenses, fiber optic cables) that AI cannot substitute [1]. Telecom operations require regulatory licensing, spectrum auctions, and physical network deployment that create structural moats against AI disruption. The 5G network buildout with 25% CapEx intensity further entrenches physical infrastructure advantages. AI may actually increase demand for Turkcell's services as data center and cloud workloads grow [2]. Some customer service and content functions face AI automation pressure, but the core infrastructure business is structurally immune. AI Opportunity (1/1): Turkcell's data center business generates quantifiable revenue from AI-related infrastructure, with a target of $100M EBITDA and 18-20% revenue growth in 2026. The company's 50MW active data center capacity (doubling to 100MW by 2032) directly supports AI compute workloads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Turkcell Q1 2026 Earnings — TipRanks, GuruFocus, May 2026</w:t>
      </w:r>
    </w:p>
    <w:p>
      <w:pPr>
        <w:spacing w:before="20" w:after="20"/>
        <w:ind w:left="170"/>
      </w:pPr>
      <w:r>
        <w:rPr>
          <w:rFonts w:ascii="Calibri" w:hAnsi="Calibri"/>
          <w:b/>
          <w:color w:val="4A6B25"/>
          <w:sz w:val="15"/>
        </w:rPr>
        <w:t xml:space="preserve">2. </w:t>
      </w:r>
      <w:r>
        <w:rPr>
          <w:rFonts w:ascii="Calibri" w:hAnsi="Calibri"/>
          <w:b w:val="0"/>
          <w:color w:val="3A4A28"/>
          <w:sz w:val="17"/>
        </w:rPr>
        <w:t>Turkcell Q1 2026 Earnings Call Highlights — MarketBeat, GuruFocus, May 15, 2026</w:t>
      </w:r>
    </w:p>
    <w:p>
      <w:pPr>
        <w:spacing w:before="20" w:after="20"/>
        <w:ind w:left="170"/>
      </w:pPr>
      <w:r>
        <w:rPr>
          <w:rFonts w:ascii="Calibri" w:hAnsi="Calibri"/>
          <w:b/>
          <w:color w:val="4A6B25"/>
          <w:sz w:val="15"/>
        </w:rPr>
        <w:t xml:space="preserve">3. </w:t>
      </w:r>
      <w:r>
        <w:rPr>
          <w:rFonts w:ascii="Calibri" w:hAnsi="Calibri"/>
          <w:b w:val="0"/>
          <w:color w:val="3A4A28"/>
          <w:sz w:val="17"/>
        </w:rPr>
        <w:t>Turkcell CEO Leadership and AI Strategy — MobileWorldLive, CEOWorld, Glassdoor, 2024-2026</w:t>
      </w:r>
    </w:p>
    <w:p>
      <w:pPr>
        <w:spacing w:before="20" w:after="20"/>
        <w:ind w:left="170"/>
      </w:pPr>
      <w:r>
        <w:rPr>
          <w:rFonts w:ascii="Calibri" w:hAnsi="Calibri"/>
          <w:b/>
          <w:color w:val="4A6B25"/>
          <w:sz w:val="15"/>
        </w:rPr>
        <w:t xml:space="preserve">4. </w:t>
      </w:r>
      <w:r>
        <w:rPr>
          <w:rFonts w:ascii="Calibri" w:hAnsi="Calibri"/>
          <w:b w:val="0"/>
          <w:color w:val="3A4A28"/>
          <w:sz w:val="17"/>
        </w:rPr>
        <w:t>Turkcell ESG Rankings — LSEG, Barchart, 2026</w:t>
      </w:r>
    </w:p>
    <w:p>
      <w:pPr>
        <w:spacing w:before="20" w:after="20"/>
        <w:ind w:left="170"/>
      </w:pPr>
      <w:r>
        <w:rPr>
          <w:rFonts w:ascii="Calibri" w:hAnsi="Calibri"/>
          <w:b/>
          <w:color w:val="4A6B25"/>
          <w:sz w:val="15"/>
        </w:rPr>
        <w:t xml:space="preserve">5. </w:t>
      </w:r>
      <w:r>
        <w:rPr>
          <w:rFonts w:ascii="Calibri" w:hAnsi="Calibri"/>
          <w:b w:val="0"/>
          <w:color w:val="3A4A28"/>
          <w:sz w:val="17"/>
        </w:rPr>
        <w:t>Turkcell Company Overview — turkcell.com.tr,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Turkcell (TKC) Statistics &amp; Valuation — StockAnalysis, TipRanks, accessed August 2026</w:t>
      </w:r>
    </w:p>
    <w:p>
      <w:pPr>
        <w:spacing w:before="20" w:after="20"/>
        <w:ind w:left="170"/>
      </w:pPr>
      <w:r>
        <w:rPr>
          <w:rFonts w:ascii="Calibri" w:hAnsi="Calibri"/>
          <w:b/>
          <w:color w:val="4A6B25"/>
          <w:sz w:val="15"/>
        </w:rPr>
        <w:t xml:space="preserve">7. </w:t>
      </w:r>
      <w:r>
        <w:rPr>
          <w:rFonts w:ascii="Calibri" w:hAnsi="Calibri"/>
          <w:b w:val="0"/>
          <w:color w:val="3A4A28"/>
          <w:sz w:val="17"/>
        </w:rPr>
        <w:t>Turkcell Dividend History — Investing.com, Dividend.com, Nasdaq,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