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TRGP</w:t>
      </w:r>
      <w:r>
        <w:rPr>
          <w:rFonts w:ascii="Calibri" w:hAnsi="Calibri"/>
          <w:b/>
          <w:color w:val="1A2010"/>
          <w:sz w:val="40"/>
        </w:rPr>
        <w:t xml:space="preserve">  Targa Resources Corp.</w:t>
      </w:r>
    </w:p>
    <w:p>
      <w:pPr>
        <w:spacing w:after="120"/>
      </w:pPr>
      <w:r>
        <w:rPr>
          <w:rFonts w:ascii="Calibri" w:hAnsi="Calibri"/>
          <w:b/>
          <w:color w:val="6E8450"/>
          <w:sz w:val="18"/>
        </w:rPr>
        <w:t>GROWTH SLEEVE · 2026-07-29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Targa Resources Corp. is one of the largest independent midstream infrastructure companies in North America, providing gathering, processing, and transportation services for natural gas and natural gas liquids (NGLs). The company operates approximately 45,000 miles of natural gas pipelines and 43 gas processing plants, primarily in the Permian Basin and other key production areas. A FORTUNE 500 and S&amp;P 500 constituent headquartered in Houston, Texas.</w:t>
      </w:r>
    </w:p>
    <w:p>
      <w:r>
        <w:rPr>
          <w:rFonts w:ascii="Calibri" w:hAnsi="Calibri"/>
          <w:b/>
          <w:color w:val="6E8450"/>
          <w:sz w:val="18"/>
        </w:rPr>
        <w:t>4,200 Employees · https://www.targaresources.com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Targa executed a strategic transformation over the past five years, shifting its business model to over 90% fee-based revenue, significantly reducing commodity price exposure and improving earnings predictability [1][2]. The company completed major processing facilities including the Yeti and Falcon II plants in the Permian Basin, expanding capacity to meet surging producer demand. However, this is operational expansion, not a business model revolution. AI Deployment (1/2): Targa has deployed AI-driven 'digital twins' of its processing plants to optimize energy efficiency and detect leaks in real-time, generating measurable operational improvements in plant uptime and emissions reduction [3]. Market Share (2/2): Targa is one of the largest independent midstream operators in North America, with dominant gathering and processing positions in the Permian Basin — the most prolific and fastest-growing production basin in the U.S. [1][2]. Product Pipeline (1/2): The company has a $5.5B growth capex budget for 2026, with specific expansion projects including additional Permian processing capacity and NGL pipeline infrastructure, though these are infrastructure builds, not novel product categories [1]. R&amp;D Intensity (0/1): As a midstream infrastructure company, Targa does not report meaningful R&amp;D spending as a percentage of revenue — capital is allocated to infrastructure construction and maintenance.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Targa articulates a purpose centered on safely and reliably providing essential energy infrastructure services, connecting production to markets. The mission is clear and specific to midstream operations but does not articulate a transformative or aspirational vision beyond operational excellence. Community Impact (1/2): Targa engages in standard corporate philanthropy and community investment programs in its operating regions, with emphasis on safety culture and environmental stewardship, but no distinctive large-scale charitable initiatives documented [4]. Employee Retention (1/2): Leadership demonstrates strong stability — CEO Matt Meloy rose through the ranks from CFO, and Jennifer Kneale was promoted to President in March 2025, indicating a promote-from-within culture that retains institutional knowledge [3]. No specific turnover or tenure data publicly available. Insider Buying (1/2): Executive compensation is heavily equity-based, aligning management with shareholders, but no notable net insider purchases beyond standard compensation-related transactions were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Targa delivered record FY2025 adjusted EBITDA of $4.96B and net income of $1.85B (up 46% YoY), with Q1 2026 net income of $480M versus $271M a year earlier [1][2]. ROE of 50.4% reflects exceptional capital efficiency. Forward P/E of 18.75 and PEG of 0.92 indicate attractive valuation relative to earnings growth trajectory. Key weakness is the elevated D/E of 621%, reflecting the capital-intensive nature of midstream infrastructure and $16.85B in debt against $113M cash, though this is supported by highly predictable fee-based cash flows [5]. Profit margin of 9.6% is below the 20% target but typical for midstream pass-through revenue models where gross throughput volumes inflate the revenue denominator.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Targa operates with a mixture of infinite and finite thinking. The company's strategic shift to a 90%+ fee-based model demonstrates long-term thinking that prioritizes earnings stability over commodity-linked upside. Leadership continuity — with Meloy and Kneale rising internally — reflects institutional commitment. However, the company's primary orientation remains shareholder returns (buybacks, dividend growth) and asset expansion, which are more finite game metrics than purpose-driven infinite game indicators.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Targa's purpose of providing essential energy infrastructure connecting production to markets is genuine and durable — the company has operated in midstream for over two decades and consistently invested through commodity cycles [1]. Strategic decisions (fee-based transition, Permian-first strategy) clearly connect to this infrastructure mission. However, the purpose is fundamentally operational rather than transformative; it describes what Targa does, not a future state the company is advancing toward. Sinek would recognize the consistency but note the absence of a higher aspirational calling.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Targa demonstrates solid organizational stability with long-tenured leadership — Matt Meloy rose from CFO to CEO, Jennifer Kneale was promoted to President, and the executive team shows strong continuity [3]. The company emphasizes safety culture and operational excellence as core values. However, no specific evidence of exceptional psychological safety, employee empowerment programs, or below-industry turnover rates was found. The culture appears performance-driven and professional, roughly average for the midstream energy sector.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Targa competes in a concentrated midstream sector alongside Enterprise Products Partners, ONEOK, and Energy Transfer, and management's strategic commentary consistently focuses on improving Targa's own competitive positioning — expanding capacity, improving operational efficiency, and strengthening customer relationships — rather than attacking competitors [1][2]. The Permian-first strategy reflects learning from peers' geographic diversification approaches and choosing a differentiated path based on Targa's own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Targa's most significant strategic evolution was the transition from a commodity-exposed business model to 90%+ fee-based revenue, fundamentally changing the company's earnings profile and risk characteristics [1]. The company also navigated the partnership-to-C-corp conversion and survived the 2020 commodity crash by restructuring its capital return program. These were meaningful adaptations but incremental rather than transformative — the core business of gathering, processing, and transporting hydrocarbons has remained constant.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Targa committed $5.5B in growth capital expenditures for 2026, representing a significant bet on continued Permian Basin production growth [1]. The company maintained infrastructure investment through the 2020 commodity downturn when many peers pulled back, and the decision to sacrifice commodity upside by moving to fee-based contracts showed willingness to prioritize long-term stability over short-term revenue. However, these decisions were supported by strong industry tailwinds and significant free cash flow, limiting the true cost of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Targa Resources delivered record FY2025 results with $4.96B adjusted EBITDA (up 20% YoY) and $1.85B net income (up 46% YoY), and raised 2026 guidance to $5.4-5.6B EBITDA following a strong Q1 2026 showing $480M net income versus $271M a year earlier [1][2]. The company's transformation to 90%+ fee-based revenue provides earnings stability, while the Permian Basin's production growth and surging AI-driven natural gas demand offer structural tailwinds. At a forward PEG of 0.92 and forward P/E of 18.75, Targa trades at a reasonable valuation relative to its earnings growth trajectory. The 25% dividend increase to $5.00 annualized underscores management's confidence in sustainable cash flow generation.</w:t>
      </w:r>
    </w:p>
    <w:p>
      <w:pPr>
        <w:spacing w:after="120"/>
      </w:pPr>
      <w:r>
        <w:rPr>
          <w:rFonts w:ascii="Calibri" w:hAnsi="Calibri"/>
          <w:b w:val="0"/>
          <w:color w:val="3A4A28"/>
          <w:sz w:val="20"/>
        </w:rPr>
        <w:t>The primary concern is Targa's elevated leverage — a debt-to-equity ratio of 621% and $16.85B in total debt against minimal cash creates vulnerability to interest rate shocks and capital market disruptions, even though the predictable fee-based cash flows support the debt load [5]. Revenue growth of only 3.95% YoY in 2025 masks the fact that EBITDA and earnings growth are primarily driven by new project completions and operating leverage rather than organic throughput expansion. The $5.5B 2026 capex program requires continued Permian production growth — any slowdown in E&amp;P activity due to commodity price weakness or regulatory changes could leave Targa with underutilized capacity. Additionally, the stock's significant re-rating (trailing P/E ~34x) prices in aggressive earnings growth, leaving limited margin of safety if execution disappoints.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construction driving incremental natural gas demand, with Targa positioned as a primary midstream beneficiary of electrification and gas-fired power generation growth</w:t>
      </w:r>
    </w:p>
    <w:p>
      <w:pPr>
        <w:spacing w:before="40" w:after="40"/>
        <w:ind w:left="283"/>
      </w:pPr>
      <w:r>
        <w:rPr>
          <w:rFonts w:ascii="Calibri" w:hAnsi="Calibri"/>
          <w:b/>
          <w:color w:val="4A6B25"/>
          <w:sz w:val="20"/>
        </w:rPr>
        <w:t xml:space="preserve">2. </w:t>
      </w:r>
      <w:r>
        <w:rPr>
          <w:rFonts w:ascii="Calibri" w:hAnsi="Calibri"/>
          <w:b w:val="0"/>
          <w:color w:val="3A4A28"/>
          <w:sz w:val="20"/>
        </w:rPr>
        <w:t>Completion of Permian Basin expansion projects in 2026-2027 contributing incremental EBITDA from $5.5B capex deployment, with management guiding to $5.4-5.6B EBITDA for 2026</w:t>
      </w:r>
    </w:p>
    <w:p>
      <w:pPr>
        <w:spacing w:before="40" w:after="40"/>
        <w:ind w:left="283"/>
      </w:pPr>
      <w:r>
        <w:rPr>
          <w:rFonts w:ascii="Calibri" w:hAnsi="Calibri"/>
          <w:b/>
          <w:color w:val="4A6B25"/>
          <w:sz w:val="20"/>
        </w:rPr>
        <w:t xml:space="preserve">3. </w:t>
      </w:r>
      <w:r>
        <w:rPr>
          <w:rFonts w:ascii="Calibri" w:hAnsi="Calibri"/>
          <w:b w:val="0"/>
          <w:color w:val="3A4A28"/>
          <w:sz w:val="20"/>
        </w:rPr>
        <w:t>Continued capital return acceleration with 25% dividend increase to $5.00 annualized and ongoing share buyback program funded by growing free cash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621% and $16.85B in total debt create significant leverage risk — rising interest rates or credit tightening could pressure cash flow available for growth capex and dividends</w:t>
      </w:r>
    </w:p>
    <w:p>
      <w:pPr>
        <w:spacing w:before="40" w:after="40"/>
        <w:ind w:left="283"/>
      </w:pPr>
      <w:r>
        <w:rPr>
          <w:rFonts w:ascii="Calibri" w:hAnsi="Calibri"/>
          <w:b/>
          <w:color w:val="4A6B25"/>
          <w:sz w:val="20"/>
        </w:rPr>
        <w:t xml:space="preserve">2. </w:t>
      </w:r>
      <w:r>
        <w:rPr>
          <w:rFonts w:ascii="Calibri" w:hAnsi="Calibri"/>
          <w:b w:val="0"/>
          <w:color w:val="3A4A28"/>
          <w:sz w:val="20"/>
        </w:rPr>
        <w:t>Trailing P/E of ~34x reflects aggressive growth expectations; any shortfall in Permian Basin production growth or new project ramp-ups could trigger multiple compression from elevated valuation levels</w:t>
      </w:r>
    </w:p>
    <w:p>
      <w:pPr>
        <w:spacing w:before="40" w:after="40"/>
        <w:ind w:left="283"/>
      </w:pPr>
      <w:r>
        <w:rPr>
          <w:rFonts w:ascii="Calibri" w:hAnsi="Calibri"/>
          <w:b/>
          <w:color w:val="4A6B25"/>
          <w:sz w:val="20"/>
        </w:rPr>
        <w:t xml:space="preserve">3. </w:t>
      </w:r>
      <w:r>
        <w:rPr>
          <w:rFonts w:ascii="Calibri" w:hAnsi="Calibri"/>
          <w:b w:val="0"/>
          <w:color w:val="3A4A28"/>
          <w:sz w:val="20"/>
        </w:rPr>
        <w:t>Regulatory and environmental risks from pipeline permitting, methane emissions regulations, and potential carbon pricing policies could increase operating costs and delay infrastructure projects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Targa's core business — gathering, processing, and transporting natural gas and NGLs through physical pipeline infrastructure — is structurally immune to AI disruption. AI cannot substitute for 45,000 miles of pipelines, 43 processing plants, and physical fractionation facilities [1]. The business requires enormous capital investment, decades-long contractual relationships, and regulatory permits that create insurmountable barriers to any AI-driven displacement. Moreover, the AI infrastructure boom is a tailwind — surging data center construction is driving incremental natural gas demand, positioning Targa as a direct beneficiary of AI adoption. Over 90% fee-based revenue provides earnings stability regardless of commodity price fluctuations [2]. AI Opportunity (1/1): Targa actively deploys AI-driven digital twins across its processing facilities for real-time optimization, predictive maintenance, and emissions monitoring, generating measurable improvements in operational efficiency and environmental compliance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Targa Resources Q4/FY2025 Earnings Release — Record Financial Results and 2026 Outlook, February 2026</w:t>
      </w:r>
    </w:p>
    <w:p>
      <w:pPr>
        <w:spacing w:before="20" w:after="20"/>
        <w:ind w:left="170"/>
      </w:pPr>
      <w:r>
        <w:rPr>
          <w:rFonts w:ascii="Calibri" w:hAnsi="Calibri"/>
          <w:b/>
          <w:color w:val="4A6B25"/>
          <w:sz w:val="15"/>
        </w:rPr>
        <w:t xml:space="preserve">2. </w:t>
      </w:r>
      <w:r>
        <w:rPr>
          <w:rFonts w:ascii="Calibri" w:hAnsi="Calibri"/>
          <w:b w:val="0"/>
          <w:color w:val="3A4A28"/>
          <w:sz w:val="17"/>
        </w:rPr>
        <w:t>Targa Resources Q1 FY2026 Earnings Release — Record First Quarter Results and Increased 2026 Guidance, April 2026</w:t>
      </w:r>
    </w:p>
    <w:p>
      <w:pPr>
        <w:spacing w:before="20" w:after="20"/>
        <w:ind w:left="170"/>
      </w:pPr>
      <w:r>
        <w:rPr>
          <w:rFonts w:ascii="Calibri" w:hAnsi="Calibri"/>
          <w:b/>
          <w:color w:val="4A6B25"/>
          <w:sz w:val="15"/>
        </w:rPr>
        <w:t xml:space="preserve">3. </w:t>
      </w:r>
      <w:r>
        <w:rPr>
          <w:rFonts w:ascii="Calibri" w:hAnsi="Calibri"/>
          <w:b w:val="0"/>
          <w:color w:val="3A4A28"/>
          <w:sz w:val="17"/>
        </w:rPr>
        <w:t>Targa Resources AI Digital Twins and Leadership Coverage — FinancialContent, Comparably, The Org, 2025-2026</w:t>
      </w:r>
    </w:p>
    <w:p>
      <w:pPr>
        <w:spacing w:before="20" w:after="20"/>
        <w:ind w:left="170"/>
      </w:pPr>
      <w:r>
        <w:rPr>
          <w:rFonts w:ascii="Calibri" w:hAnsi="Calibri"/>
          <w:b/>
          <w:color w:val="4A6B25"/>
          <w:sz w:val="15"/>
        </w:rPr>
        <w:t xml:space="preserve">4. </w:t>
      </w:r>
      <w:r>
        <w:rPr>
          <w:rFonts w:ascii="Calibri" w:hAnsi="Calibri"/>
          <w:b w:val="0"/>
          <w:color w:val="3A4A28"/>
          <w:sz w:val="17"/>
        </w:rPr>
        <w:t>Targa Resources Sustainability Report and ESG Disclosures — targaresources.com, September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TRGP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