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TXT</w:t>
      </w:r>
      <w:r>
        <w:rPr>
          <w:rFonts w:ascii="Calibri" w:hAnsi="Calibri"/>
          <w:b/>
          <w:color w:val="1A2010"/>
          <w:sz w:val="40"/>
        </w:rPr>
        <w:t xml:space="preserve">  Textron Inc.</w:t>
      </w:r>
    </w:p>
    <w:p>
      <w:pPr>
        <w:spacing w:after="120"/>
      </w:pPr>
      <w:r>
        <w:rPr>
          <w:rFonts w:ascii="Calibri" w:hAnsi="Calibri"/>
          <w:b/>
          <w:color w:val="6E8450"/>
          <w:sz w:val="18"/>
        </w:rPr>
        <w:t>GROWTH SLEEVE · 2026-07-22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Textron Inc. is a multi-industry company operating through five segments: Textron Aviation (Cessna, Beechcraft business jets and turboprops), Bell (military and commercial rotorcraft including the V-280 Valor), Textron Systems (unmanned systems, marine craft, weapons), Industrial (E-Z-GO, Arctic Cat, Kautex), and Finance. Founded in 1923, the company announced plans to separate its Industrial segment in Q1 2026, sharpening focus on aerospace and defense.</w:t>
      </w:r>
    </w:p>
    <w:p>
      <w:r>
        <w:rPr>
          <w:rFonts w:ascii="Calibri" w:hAnsi="Calibri"/>
          <w:b/>
          <w:color w:val="6E8450"/>
          <w:sz w:val="18"/>
        </w:rPr>
        <w:t>32,000 Employees · https://www.textron.com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Textron's Bell subsidiary won the transformative $70B+ FLRAA contract to replace the Black Hawk helicopter with the V-280 Valor tiltrotor, and the MV-75 commercial tiltrotor program represents an entirely new civil aviation category [1]. Textron Aviation delivered 37 Citation jets and 35 commercial turboprops in Q1 2026, with revenues up 22% demonstrating strong execution on existing platforms. The decision to separate the Industrial segment marks a strategic pivot to pure-play aerospace/defense. AI Deployment (1/2): Textron has deployed generative AI across the enterprise with a 'fail fast, reuse, and empower' approach, treating gen AI as a standard productivity tool with appropriate guardrails rather than a transformative product initiative [3]. No customer-facing AI products or quantified revenue impact reported. Market Share (1/2): Leader in turboprop aircraft (King Air, Cessna Caravan) and a major player in business jets (Citation series). Bell holds the FLRAA contract for next-gen military rotorcraft. Not dominant in any single category but strong across multiple niches. Product Pipeline (2/2): V-280 Valor FLRAA program entering EMD phase with specific milestones, MV-75 commercial tiltrotor with accelerated development timeline, and Citation Ascend in development -- all named products with timelines [1]. R&amp;D Intensity (0/1): R&amp;D spending of approximately 3.5% of revenue is in line with aerospace/defense peers but not top-quartile.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Textron's stated purpose -- 'leveraging our global network of aircraft, defense, industrial and finance businesses to provide innovative solutions and services' -- is boilerplate and interchangeable with any diversified industrial company. It describes what the company does, not why it exists or what future state it is building toward. No evidence of a distinctive purpose beyond operational excellence. Community Impact (1/2): Textron publishes a Corporate Responsibility Report focused on environmental stewardship and community engagement in operating regions, with specific programs around reducing GHG and resource intensity [4]. Standard corporate philanthropy without distinctive scale or alignment with a higher purpose. Employee Retention (1/2): Former CEO Scott Donnelly served 16 years before transitioning to executive chairman in January 2026, and successor Lisa Atherton was promoted from within after nearly 20 years at Textron -- strong evidence of internal talent development and leadership continuity [1]. No specific turnover data available. Insider Buying (0/2): Net insider selling of approximately $30M in the last 90 days, including large sales by the outgoing chairman. One director (Thomas Kennedy) purchased ~$989K in shares in May 2026, but this is heavily outweighed by selling activity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Q1 2026 revenue of $3.695B was up 12% YoY, led by Textron Aviation (+22%) and Bell, with operating margin expanding to 8.7% from 7.2% [1]. D/E of 53% is well below the 70% target, reflecting prudent financial management. ROE of 12.25% is below the 15% target but improving as earnings grow faster than equity. Forward P/E of 14.25 scores well against the 20 target, and PEG of 1.47 indicates reasonable valuation relative to growth. Profit margin of 6.2% is the primary weakness, constrained by defense contract margins and the lower-margin Industrial segment (which will be separated) [1][2]. Revenue growth YoY of 8% is approaching the 10% target with acceleration to 12% in Q1 2026. The 5-year revenue CAGR of 2.32% is dragged down by post-COVID normalization and aerospace delivery timing. Backlog of $19.2B provides multi-year revenue visibility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Textron is a well-managed industrial conglomerate that operates with strategic discipline but without a compelling Just Cause. The company's identity has shifted repeatedly over a century -- from textiles to conglomerate to focused aerospace/defense -- driven by strategic logic rather than a purpose that transcends any single business. The smooth CEO transition from Donnelly (16 years) to Atherton demonstrates organizational stability, but Sinek would note the absence of a vision that employees join to advance rather than simply execute.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Textron has no articulated Just Cause. The company's mission is generic operational language ('innovative solutions and services') that could apply to any industrial company. The 103-year history shows strategic adaptability but not purpose -- the company pivoted from textiles to conglomerate to aerospace/defense based on market opportunity, not a vision of a future state. Sinek would classify this as a finite player optimizing for competitive advantage rather than advancing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transition from Donnelly (16 years as CEO) to Atherton (promoted internally after 20 years) is textbook succession planning and suggests organizational stability [1]. Textron's multi-brand structure (Aviation, Bell, Systems) provides autonomy to business units. However, no specific evidence of exceptional trust culture, psychological safety, or employee empowerment. The company has 32,000 employees across 25 countries with standard industrial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Textron's competitive language centers on winning contracts (FLRAA victory over Sikorsky-Boeing), market share, and financial performance. No evidence of management publicly acknowledging competitors' strengths or using competitive pressure for self-improvement. The FLRAA win was celebrated as a victory over rivals rather than framed as motivation to build better rotorcraft for the end user.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Textron has shown meaningful business model evolution over its 103-year history -- from a textile company (1923) to a diversified conglomerate through acquisitions, and now sharpening focus on aerospace/defense through the planned Industrial segment separation [1]. Each evolution was significant but incremental. The Industrial separation is a notable strategic move, but it's a portfolio rationalization driven by valuation logic, not a transformative pivot driven by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separate the Industrial segment (E-Z-GO, Kautex, Arctic Cat) to focus on higher-margin aerospace/defense demonstrates strategic clarity and willingness to restructure [1]. The multi-year investment in the V-280 Valor and MV-75 tiltrotor programs represents significant capital commitment to next-generation technology. However, Textron's $0.02/share quarterly dividend ($0.08 annual) signals minimal shareholder commitment, and the heavy insider selling ($30M in 90 days) undercuts conviction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Textron delivered Q1 2026 revenue of $3.695B (+12% YoY) with operating margin expanding 150bps to 8.7%, led by Textron Aviation revenues of $1.5B (+22%) on strong Citation jet demand (37 deliveries) [1]. Company-wide backlog of $19.2B provides multi-year visibility, anchored by the $70B+ V-280 Valor FLRAA program that will replace the U.S. Army's Black Hawk fleet. The planned Industrial segment separation will create a focused aerospace/defense pure-play with ~$12B in revenue and 10.7% segment margins, expected to command a higher valuation multiple. At 14.25x forward earnings with 2026 adjusted EPS guidance of $6.40-$6.60 and a 21% five-year EPS CAGR, the stock offers reasonable value for a defense prime with secular program growth [1][2]. New CEO Lisa Atherton, a 20-year Textron veteran promoted from Bell, brings direct rotorcraft expertise to lead the FLRAA execution.</w:t>
      </w:r>
    </w:p>
    <w:p>
      <w:pPr>
        <w:spacing w:after="120"/>
      </w:pPr>
      <w:r>
        <w:rPr>
          <w:rFonts w:ascii="Calibri" w:hAnsi="Calibri"/>
          <w:b w:val="0"/>
          <w:color w:val="3A4A28"/>
          <w:sz w:val="20"/>
        </w:rPr>
        <w:t>The bear case centers on execution risk and thin profitability. Profit margin of 6.2% is constrained by cost-plus defense contracts and the lower-margin Industrial segment, and even post-separation the new Textron expects only 10.7% segment margins -- well below defense peers like Lockheed Martin (13%+) and General Dynamics (11%+). ROE of 12.25% falls short of the 15% target for a company of this scale. The V-280 Valor program carries significant development risk -- cost overruns and schedule delays are endemic to major defense programs, and the MV-75 commercial tiltrotor enters an unproven market category [1]. Heavy insider selling ($30M in 90 days) including by the outgoing chairman signals potential concern about near-term valuation. The 5-year revenue CAGR of only 2.32% reveals that backlog growth has not yet consistently translated to revenue acceleration. Revenue guidance of $15.5B for 2026 implies only 4.7% growth for the remaining quarters after Q1's strong 12% print.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V-280 Valor FLRAA program milestones entering EMD phase with potential for production contract decisions, plus MV-75 commercial tiltrotor accelerated development creating an entirely new civil aviation market category [1]</w:t>
      </w:r>
    </w:p>
    <w:p>
      <w:pPr>
        <w:spacing w:before="40" w:after="40"/>
        <w:ind w:left="283"/>
      </w:pPr>
      <w:r>
        <w:rPr>
          <w:rFonts w:ascii="Calibri" w:hAnsi="Calibri"/>
          <w:b/>
          <w:color w:val="4A6B25"/>
          <w:sz w:val="20"/>
        </w:rPr>
        <w:t xml:space="preserve">2. </w:t>
      </w:r>
      <w:r>
        <w:rPr>
          <w:rFonts w:ascii="Calibri" w:hAnsi="Calibri"/>
          <w:b w:val="0"/>
          <w:color w:val="3A4A28"/>
          <w:sz w:val="20"/>
        </w:rPr>
        <w:t>Industrial segment separation within 12-18 months expected to unlock valuation re-rating as a focused aerospace/defense pure-play commanding higher multiples than the current conglomerate discount [1]</w:t>
      </w:r>
    </w:p>
    <w:p>
      <w:pPr>
        <w:spacing w:before="40" w:after="40"/>
        <w:ind w:left="283"/>
      </w:pPr>
      <w:r>
        <w:rPr>
          <w:rFonts w:ascii="Calibri" w:hAnsi="Calibri"/>
          <w:b/>
          <w:color w:val="4A6B25"/>
          <w:sz w:val="20"/>
        </w:rPr>
        <w:t xml:space="preserve">3. </w:t>
      </w:r>
      <w:r>
        <w:rPr>
          <w:rFonts w:ascii="Calibri" w:hAnsi="Calibri"/>
          <w:b w:val="0"/>
          <w:color w:val="3A4A28"/>
          <w:sz w:val="20"/>
        </w:rPr>
        <w:t>Textron Aviation demand cycle continuing with Citation jet backlog supporting 22%+ revenue growth and margin expansion from production rate increases and aftermarket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V-280 Valor FLRAA development risk -- the program involves complex tiltrotor technology replacing the proven Black Hawk, and cost overruns or schedule delays could compress margins and erode the $19.2B backlog value</w:t>
      </w:r>
    </w:p>
    <w:p>
      <w:pPr>
        <w:spacing w:before="40" w:after="40"/>
        <w:ind w:left="283"/>
      </w:pPr>
      <w:r>
        <w:rPr>
          <w:rFonts w:ascii="Calibri" w:hAnsi="Calibri"/>
          <w:b/>
          <w:color w:val="4A6B25"/>
          <w:sz w:val="20"/>
        </w:rPr>
        <w:t xml:space="preserve">2. </w:t>
      </w:r>
      <w:r>
        <w:rPr>
          <w:rFonts w:ascii="Calibri" w:hAnsi="Calibri"/>
          <w:b w:val="0"/>
          <w:color w:val="3A4A28"/>
          <w:sz w:val="20"/>
        </w:rPr>
        <w:t>Heavy insider selling ($30M in 90 days including outgoing chairman) against minimal insider buying signals potential concern about near-term valuation or strategic uncertainty during the CEO transition and Industrial separation</w:t>
      </w:r>
    </w:p>
    <w:p>
      <w:pPr>
        <w:spacing w:before="40" w:after="40"/>
        <w:ind w:left="283"/>
      </w:pPr>
      <w:r>
        <w:rPr>
          <w:rFonts w:ascii="Calibri" w:hAnsi="Calibri"/>
          <w:b/>
          <w:color w:val="4A6B25"/>
          <w:sz w:val="20"/>
        </w:rPr>
        <w:t xml:space="preserve">3. </w:t>
      </w:r>
      <w:r>
        <w:rPr>
          <w:rFonts w:ascii="Calibri" w:hAnsi="Calibri"/>
          <w:b w:val="0"/>
          <w:color w:val="3A4A28"/>
          <w:sz w:val="20"/>
        </w:rPr>
        <w:t>Profit margins of 6.2% leave minimal buffer for execution missteps, supply chain disruptions, or defense budget sequestration, with ROE of 12.25% underperforming capital-intensive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Textron's core businesses are structurally immune to AI disruption -- manufacturing aircraft (Cessna, Beechcraft), helicopters (Bell), unmanned defense systems, and industrial vehicles requires physical production facilities, FAA/DoD certification, specialized materials, and engineering expertise that AI cannot substitute [1]. Defense contracts involve classified requirements, security clearances, and decades-long procurement cycles that create regulatory moats. AI data centers increase demand for power infrastructure and defense spending, indirectly benefiting Textron Systems. The V-280 Valor program alone provides $70B+ in revenue visibility immune to technological substitution. AI Opportunity (1/1): Textron has deployed generative AI enterprise-wide for productivity optimization, with leadership explicitly treating AI 'like any other tool' with evolving guardrails [3]. The company's engineering-first culture enables rapid AI adoption for design optimization, supply chain management, and manufacturing efficiency, generating measurable operational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Textron Q1 2026 Earnings Release and Industrial Segment Separation Announcement -- Textron Investor Relations, April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TXT Key Statistics and Valuation,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CIO.com -- 'Textron Takes Flight with Gen AI,' Textron's Enterprise AI Deployment, 2025</w:t>
      </w:r>
    </w:p>
    <w:p>
      <w:pPr>
        <w:spacing w:before="20" w:after="20"/>
        <w:ind w:left="170"/>
      </w:pPr>
      <w:r>
        <w:rPr>
          <w:rFonts w:ascii="Calibri" w:hAnsi="Calibri"/>
          <w:b/>
          <w:color w:val="4A6B25"/>
          <w:sz w:val="15"/>
        </w:rPr>
        <w:t xml:space="preserve">4. </w:t>
      </w:r>
      <w:r>
        <w:rPr>
          <w:rFonts w:ascii="Calibri" w:hAnsi="Calibri"/>
          <w:b w:val="0"/>
          <w:color w:val="3A4A28"/>
          <w:sz w:val="17"/>
        </w:rPr>
        <w:t>Textron 2023 Corporate Responsibility Report -- textron.com</w:t>
      </w:r>
    </w:p>
    <w:p>
      <w:pPr>
        <w:spacing w:before="20" w:after="20"/>
        <w:ind w:left="170"/>
      </w:pPr>
      <w:r>
        <w:rPr>
          <w:rFonts w:ascii="Calibri" w:hAnsi="Calibri"/>
          <w:b/>
          <w:color w:val="4A6B25"/>
          <w:sz w:val="15"/>
        </w:rPr>
        <w:t xml:space="preserve">5. </w:t>
      </w:r>
      <w:r>
        <w:rPr>
          <w:rFonts w:ascii="Calibri" w:hAnsi="Calibri"/>
          <w:b w:val="0"/>
          <w:color w:val="3A4A28"/>
          <w:sz w:val="17"/>
        </w:rPr>
        <w:t>Yahoo Finance and Nasdaq -- TXT Insider Transactions (net selling $30M in 90 days),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