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UTZ</w:t>
      </w:r>
      <w:r>
        <w:rPr>
          <w:rFonts w:ascii="Calibri" w:hAnsi="Calibri"/>
          <w:b/>
          <w:color w:val="1A2010"/>
          <w:sz w:val="40"/>
        </w:rPr>
        <w:t xml:space="preserve">  Utz Brands, Inc.</w:t>
      </w:r>
    </w:p>
    <w:p>
      <w:pPr>
        <w:spacing w:after="120"/>
      </w:pPr>
      <w:r>
        <w:rPr>
          <w:rFonts w:ascii="Calibri" w:hAnsi="Calibri"/>
          <w:b/>
          <w:color w:val="6E8450"/>
          <w:sz w:val="18"/>
        </w:rPr>
        <w:t>GROWTH SLEEVE · 2026-07-25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Utz Brands manufactures and distributes branded salty snacks in the United States, including potato chips, tortilla chips, pretzels, cheese snacks, pork skins, and popcorn under brands such as Utz, Zapp's, On The Border, Boulder Canyon, Golden Flake, and Hawaiian. Founded in 1921 and headquartered in Hanover, Pennsylvania. PENDING ACQUISITION: Intersnack Group to acquire all Class A shares at $14.25/share (~$2.9B enterprise value), announced July 21, 2026.</w:t>
      </w:r>
    </w:p>
    <w:p>
      <w:r>
        <w:rPr>
          <w:rFonts w:ascii="Calibri" w:hAnsi="Calibri"/>
          <w:b/>
          <w:color w:val="6E8450"/>
          <w:sz w:val="18"/>
        </w:rPr>
        <w:t>3,100 Employees · https://www.utzsnacks.com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Utz continues executing its organic growth playbook with Q1 2026 net sales up 2.6% to $361.3M and branded salty snacks growing 5.2%, led by the Power Four portfolio where Boulder Canyon surged 101% [1]. However, the business remains the same salty snack categories it has always been — no transformative product launches or pivots. AI Deployment (0/2): ERP modernization completed in April 2026 replaces legacy systems but is standard infrastructure, not AI deployment; no AI-powered products or quantified AI-driven efficiencies reported [2]. Market Share (1/2): Utz holds the #4 position in U.S. salty snacks with branded snacks outgrowing the category at 5.2% YoY, and Boulder Canyon's 101% growth suggests meaningful share gains in premium natural snacks [1]. Pipeline (1/2): SVP of Innovation Shannan Redcay appointed to accelerate entry into new categories, forms, and formats, with CGO Shane Chambers driving strategic growth initiatives, though specific next-gen products with launch dates were not detailed [2]. R&amp;D Intensity (1/1): Dedicated innovation SVP, 'fail fast' testing approach, and completed ERP modernization represent above-average investment for a mid-cap snack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Utz's purpose centers on bringing people together through great-tasting snacks, rooted in its 100+ year family heritage from 1921 — clear and authentic but not distinctive from packaged food peers [3]. Community Impact (1/2): ESG reports highlight associate well-being, inclusive workplace culture, carbon emission reductions through network optimization, and food waste minimization, but no major charitable foundation or quantified giving was identified [3]. Employee Retention (1/2): CEO Howard Friedman (since Dec 2022) has rebuilt the executive team with CPG veterans including SVP Innovation and CGO, and the stock nearly doubling from $7.60 to $14.10 boosts equity-based morale, though restructuring and the pending acquisition create uncertainty [2]. Insider Buying (1/2): The Rice and Lissette founding families are rolling their equity into the post-merger Intersnack entity (maintaining 50% ownership), demonstrating long-term conviction in the business even as public shareholders are cashed out at $14.25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reclassified to Growth sleeve as the dividend yield dropped to 1.79% (below the 2% threshold) after the stock nearly doubled from $7.60 to $14.10 on the Intersnack acquisition announcement [4]. Forward P/E of 17.61x (based on $0.80 adjusted EPS guidance) is reasonable for a turnaround, but GAAP profitability remains negative with -0.58% profit margin and -0.58% ROE [5]. D/E of ~72% is manageable with $1.04B debt, though the Altman Z-Score of 0.8 signals financial stress [5]. Revenue growth is modest at 2.6% YoY with Q1 showing branded momentum (5.2%) offset by non-branded and private label softness [1]. The pending $14.25/share acquisition effectively caps upside and sets a floor near current price levels. Liquidity floor cleared at ~$26.6M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Utz's 100+ year heritage provides a foundation for infinite game thinking, but the pending $14.25/share acquisition by Intersnack fundamentally alters the outlook. The founding families (Rice and Lissette) are rolling their equity into the post-merger entity, maintaining 50% ownership — an infinite game move for insiders. However, public shareholders are being cashed out, and the deal structure raises fiduciary concerns with multiple law firms investigating whether the $14.25 price is fair. The company's competitive posture remains oriented toward market share capture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Utz's 100+ year heritage of making quality snacks since 1921 provides historical depth, but the purpose of bringing people together through great-tasting snacks is a standard consumer staples mission rather than a transformative Just Cause [3]. The founding families' decision to roll their equity into the post-Intersnack merger while cashing out public shareholders at $14.25 suggests the 'cause' is family wealth preservation rather than a vision that includes all stakeholders [4]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Friedman rebuilt the executive team with experienced CPG talent including SVP Innovation Shannan Redcay and CGO Shane Chambers, investing in marketing capability and a 'fail fast' culture [2]. Q1 2026's branded salty snack growth of 5.2% suggests team execution. However, the pending Intersnack acquisition creates existential uncertainty for employees, and the founding families' preferential treatment in the deal structure may erode organizational trust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primarily frames its competitive position in terms of market share gains and geographic expansion against Frito-Lay and national brands, using finite competitive language focused on share capture rather than self-improvement [1]. The pending sale to Intersnack Group — rather than competing independently — suggests a finite response to competitive pressure: if you can't beat them, sell to a larger competitor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showed meaningful flexibility in shifting from an acquisition-driven strategy (12+ acquisitions 2018-2022) to an organic growth model under Friedman, and the pending Intersnack acquisition represents the ultimate existential flexibility — selling the company entirely to a European snack conglomerate that can provide global scale and distribution [2][4]. However, this pivot is driven by competitive necessity rather than a cause-driven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accept the Intersnack acquisition raises questions about leadership courage. While the $14.25 price represents a significant premium over the stock's pre-deal trading range, the deal structure — where founding families roll their equity into 50% post-merger ownership while public shareholders are cashed out — suggests insiders are playing a different game than public shareholders [4]. Friedman's pivot from acquisition to organic growth showed some courage, but the ultimate exit undermines the long-term narrative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Utz Brands has entered into a definitive agreement to be acquired by Intersnack Group at $14.25/share in an all-cash transaction valued at ~$2.9B enterprise value, announced July 21, 2026 [4]. The stock trades at $14.10, representing a $0.15 merger-arb spread to the deal price. The underlying business showed improving momentum in Q1 2026 with branded salty snacks up 5.2% and Boulder Canyon surging 101%, and the Power Four portfolio (Utz, On The Border, Zapp's, Boulder Canyon) is outpacing the broader salty snacks category [1]. The founding Rice and Lissette families are rolling their equity into 50% ownership of the post-merger entity, signaling long-term confidence in the business under Intersnack's global platform [4].</w:t>
      </w:r>
    </w:p>
    <w:p>
      <w:pPr>
        <w:spacing w:after="120"/>
      </w:pPr>
      <w:r>
        <w:rPr>
          <w:rFonts w:ascii="Calibri" w:hAnsi="Calibri"/>
          <w:b w:val="0"/>
          <w:color w:val="3A4A28"/>
          <w:sz w:val="20"/>
        </w:rPr>
        <w:t>The bear case is defined by the deal structure and fundamental challenges. Multiple law firms are investigating whether the $14.25 price is fair to public shareholders, noting that the founding families receive preferential treatment by rolling into 50% post-merger ownership (an ~8% gain in collective ownership) while public shareholders are cashed out [4]. Pre-deal fundamentals remain weak: GAAP profit margin of -0.58%, ROE of -0.58%, Altman Z-Score of 0.8 (financial distress territory), and $1.04B in debt [5]. Revenue growth of 2.6% and flat ~$1.45B revenue for four consecutive years reflects structural challenges competing against Frito-Lay's 60%+ market share and massive scale advantages [1]. If the deal fails, the stock would likely return to pre-deal levels near $8-10, representing 30-45% downside. The dividend was cut (-5.3% growth) and yield dropped to 1.79%, eliminating the income appeal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Intersnack acquisition at $14.25/share expected to close by year-end 2026, providing certain return of ~$0.15/share (1.1%) from current price if deal completes [4]</w:t>
      </w:r>
    </w:p>
    <w:p>
      <w:pPr>
        <w:spacing w:before="40" w:after="40"/>
        <w:ind w:left="283"/>
      </w:pPr>
      <w:r>
        <w:rPr>
          <w:rFonts w:ascii="Calibri" w:hAnsi="Calibri"/>
          <w:b/>
          <w:color w:val="4A6B25"/>
          <w:sz w:val="20"/>
        </w:rPr>
        <w:t xml:space="preserve">2. </w:t>
      </w:r>
      <w:r>
        <w:rPr>
          <w:rFonts w:ascii="Calibri" w:hAnsi="Calibri"/>
          <w:b w:val="0"/>
          <w:color w:val="3A4A28"/>
          <w:sz w:val="20"/>
        </w:rPr>
        <w:t>Q1 2026 branded salty snack momentum with 5.2% growth and Boulder Canyon surging 101% validates the Power Four organic growth strategy under Friedman [1]</w:t>
      </w:r>
    </w:p>
    <w:p>
      <w:pPr>
        <w:spacing w:before="40" w:after="40"/>
        <w:ind w:left="283"/>
      </w:pPr>
      <w:r>
        <w:rPr>
          <w:rFonts w:ascii="Calibri" w:hAnsi="Calibri"/>
          <w:b/>
          <w:color w:val="4A6B25"/>
          <w:sz w:val="20"/>
        </w:rPr>
        <w:t xml:space="preserve">3. </w:t>
      </w:r>
      <w:r>
        <w:rPr>
          <w:rFonts w:ascii="Calibri" w:hAnsi="Calibri"/>
          <w:b w:val="0"/>
          <w:color w:val="3A4A28"/>
          <w:sz w:val="20"/>
        </w:rPr>
        <w:t>Full year 2026 guidance reaffirmed for sales, EBITDA, free cash flow, and leverage, including a 53rd-week benefit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failure risk — multiple law firms investigating fiduciary duty breaches by the Utz Board regarding the $14.25 price and preferential treatment of founding families, potentially delaying or blocking the Intersnack acquisition [4]</w:t>
      </w:r>
    </w:p>
    <w:p>
      <w:pPr>
        <w:spacing w:before="40" w:after="40"/>
        <w:ind w:left="283"/>
      </w:pPr>
      <w:r>
        <w:rPr>
          <w:rFonts w:ascii="Calibri" w:hAnsi="Calibri"/>
          <w:b/>
          <w:color w:val="4A6B25"/>
          <w:sz w:val="20"/>
        </w:rPr>
        <w:t xml:space="preserve">2. </w:t>
      </w:r>
      <w:r>
        <w:rPr>
          <w:rFonts w:ascii="Calibri" w:hAnsi="Calibri"/>
          <w:b w:val="0"/>
          <w:color w:val="3A4A28"/>
          <w:sz w:val="20"/>
        </w:rPr>
        <w:t>If the deal breaks, the stock would likely revert to pre-deal fundamentals (~$8-10 range) with negative GAAP profitability, -0.58% margins, and $1.04B debt, representing 30-45% downside [5]</w:t>
      </w:r>
    </w:p>
    <w:p>
      <w:pPr>
        <w:spacing w:before="40" w:after="40"/>
        <w:ind w:left="283"/>
      </w:pPr>
      <w:r>
        <w:rPr>
          <w:rFonts w:ascii="Calibri" w:hAnsi="Calibri"/>
          <w:b/>
          <w:color w:val="4A6B25"/>
          <w:sz w:val="20"/>
        </w:rPr>
        <w:t xml:space="preserve">3. </w:t>
      </w:r>
      <w:r>
        <w:rPr>
          <w:rFonts w:ascii="Calibri" w:hAnsi="Calibri"/>
          <w:b w:val="0"/>
          <w:color w:val="3A4A28"/>
          <w:sz w:val="20"/>
        </w:rPr>
        <w:t>Altman Z-Score of 0.8 signals financial distress — $1.04B debt with negative GAAP earnings and a dividend that was cut (-5.3% growth) raises sustainability concerns for standalone operations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Utz's core business — manufacturing and distributing physical salty snack products — is structurally immune to AI substitution [1]. AI cannot replace potato chips, pretzels, or the physical supply chain required to produce and distribute them through DSD networks and retail shelf placement. Consumer snacking behavior is deeply habitual and brand-driven, providing additional insulation. Growing AI workforce adoption may actually increase snacking occasions as more people work from home with AI tools. The Intersnack acquisition by a European snack conglomerate validates the enduring physical-world value of the business [4]. AI Opportunity (0/1): The completed ERP modernization enables data analytics for supply chain and distribution optimization, but no specific AI-powered revenue streams or quantified AI-driven cost savings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Utz Brands Q1 2026 Earnings Release — $361.3M revenue (2.6% YoY), branded salty snacks +5.2%, Boulder Canyon +101%, Power Four momentum, full year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Utz Corporate — Leadership changes: SVP Innovation Shannan Redcay, CGO Shane Chambers, ERP modernization completed April 2026, innovation strategy</w:t>
      </w:r>
    </w:p>
    <w:p>
      <w:pPr>
        <w:spacing w:before="20" w:after="20"/>
        <w:ind w:left="170"/>
      </w:pPr>
      <w:r>
        <w:rPr>
          <w:rFonts w:ascii="Calibri" w:hAnsi="Calibri"/>
          <w:b/>
          <w:color w:val="4A6B25"/>
          <w:sz w:val="15"/>
        </w:rPr>
        <w:t xml:space="preserve">3. </w:t>
      </w:r>
      <w:r>
        <w:rPr>
          <w:rFonts w:ascii="Calibri" w:hAnsi="Calibri"/>
          <w:b w:val="0"/>
          <w:color w:val="3A4A28"/>
          <w:sz w:val="17"/>
        </w:rPr>
        <w:t>Utz Brands 2023 ESG Report — Environmental, social, and governance initiatives, carbon emission reductions, food waste minimization, associate well-being</w:t>
      </w:r>
    </w:p>
    <w:p>
      <w:pPr>
        <w:spacing w:before="20" w:after="20"/>
        <w:ind w:left="170"/>
      </w:pPr>
      <w:r>
        <w:rPr>
          <w:rFonts w:ascii="Calibri" w:hAnsi="Calibri"/>
          <w:b/>
          <w:color w:val="4A6B25"/>
          <w:sz w:val="15"/>
        </w:rPr>
        <w:t xml:space="preserve">4. </w:t>
      </w:r>
      <w:r>
        <w:rPr>
          <w:rFonts w:ascii="Calibri" w:hAnsi="Calibri"/>
          <w:b w:val="0"/>
          <w:color w:val="3A4A28"/>
          <w:sz w:val="17"/>
        </w:rPr>
        <w:t>BusinessWire / GlobeNewsWire — Intersnack Group $14.25/share acquisition of Utz Brands (~$2.9B EV), Rice/Lissette families rolling 50% post-merger ownership, multiple law firm investigations,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UTZ financial data: $2.03B market cap, forward PE 17.61, D/E ~72%, ROE -0.58%, profit margin -0.58%, Altman Z-Score 0.8, 1.79% yield,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