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VICI</w:t>
      </w:r>
      <w:r>
        <w:rPr>
          <w:rFonts w:ascii="Calibri" w:hAnsi="Calibri"/>
          <w:b/>
          <w:color w:val="1A2010"/>
          <w:sz w:val="40"/>
        </w:rPr>
        <w:t xml:space="preserve">  VICI Properties Inc.</w:t>
      </w:r>
    </w:p>
    <w:p>
      <w:pPr>
        <w:spacing w:after="120"/>
      </w:pPr>
      <w:r>
        <w:rPr>
          <w:rFonts w:ascii="Calibri" w:hAnsi="Calibri"/>
          <w:b/>
          <w:color w:val="6E8450"/>
          <w:sz w:val="18"/>
        </w:rPr>
        <w:t>DIVIDEND SLEEVE · 2026-08-21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VICI Properties Inc. is an S&amp;P 500 experiential real estate investment trust that owns one of the largest portfolios of market-leading gaming, hospitality, and entertainment destinations, including Caesars Palace Las Vegas, MGM Grand, and the Venetian Resort Las Vegas. The portfolio consists of 93 experiential assets across a diverse geographic footprint totaling approximately 127 million square feet, with 60,300 hotel rooms and over 500 restaurants, bars, and nightclubs. Spun out of Caesars Entertainment's bankruptcy in 2017. Q2 2026 revenue rose 5.7% YoY to $1.1B with AFFO of $679.6M (+7.8% YoY), and management raised full-year AFFO guidance to $2.45-$2.47/share.</w:t>
      </w:r>
    </w:p>
    <w:p>
      <w:r>
        <w:rPr>
          <w:rFonts w:ascii="Calibri" w:hAnsi="Calibri"/>
          <w:b/>
          <w:color w:val="6E8450"/>
          <w:sz w:val="18"/>
        </w:rPr>
        <w:t>35 Employees · https://www.viciproperties.com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VICI has grown through transformative acquisitions — the $17.2B MGM Growth Properties merger (2022) and $4B Venetian acquisition (2021) fundamentally expanded the portfolio from a Caesars-centric REIT to the dominant experiential real estate platform [1][2]. CEO Pitoniak has applied five investment criteria (lower-than-average cyclicality, absence of secular threat, healthy supply/demand, proven durability, economic dynamism) to disciplined portfolio construction. However, the business model itself (triple-net lease REIT) has not changed. AI Deployment (0/2): VICI is a 35-person corporate entity that owns triple-net leased properties — there is no AI deployment, no AI-powered products, and no AI-driven cost savings. AI is structurally irrelevant to the net lease REIT model. Market Share (2/2): VICI is the undisputed category leader in gaming real estate, owning the most iconic gaming properties on the Las Vegas Strip and nationally, with no other pure-play gaming REIT of comparable scale [2]. The company effectively created and dominates this asset class. Product Pipeline (1/2): The $1.5B One Beverly Hills mezzanine loan, CAD$200.6M Gamehost acquisition, and $1.16B Golden Entertainment casino purchase demonstrate a visible acquisition pipeline expanding beyond gaming into broader experiential real estate [1]. R&amp;D Intensity (0/1): Not applicable — VICI is a net lease REIT with minimal operating infrastructure and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VICI's stated purpose centers on 'owning the most extraordinary experiential real estate in the world' — this is clear and specific to the company's niche but describes what VICI does rather than articulating a deeper purpose about why experiential real estate matters to society [2]. Pitoniak's vision of Las Vegas as an 'incomparable experiential powerhouse' differentiates from generic REITs but stops short of a transformative social purpose. Community Impact (1/2): VICI publishes ESG reports aligned with SASB and TCFD frameworks, highlighting environmental sustainability and UN SDG alignment [4]. However, as a 35-person corporate entity that net-leases properties to operators, its direct community impact is inherently limited — the tenants, not VICI, run community-facing operations. Employee Retention (1/2): VICI operates with an exceptionally lean team of ~35 employees, and CEO Ed Pitoniak has led the company since its 2017 founding, demonstrating leadership continuity. The departure of the Chief Investment Officer and elimination of that role raises questions about organizational stability at the senior level [3]. Insider Buying (1/2): Pitoniak and the founding team maintain significant equity stakes, and insider ownership is meaningful for a $28B+ REIT, though no notable net open-market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core and dividend metrics. Q2 2026 delivered $1.1B revenue (+5.7% YoY) with AFFO of $679.6M (+7.8%), and AFFO/share of $0.62 (+4.6% YoY), prompting a guidance raise to $2.45-$2.47/share for full-year 2026 [1]. D/E of 63% is below the 70% target, reflecting disciplined leverage with investment-grade credit. Forward P/E of 8.97x scores perfectly against the 20x target. Profit margin of 67.5% is exceptional, driven by the triple-net lease model where tenants bear all property-level expenses [1]. ROE of 11.33% is below the 15% target but typical for equity-heavy REITs. Revenue 5-year CAGR of approximately 27% reflects the transformative acquisition era. Dividend profile: 8 consecutive years paid since 2018 IPO (below the 10-year 2x-weighted target, scoring 0.80), 7 years of growth, $1.80 annual dividend yielding 6.83%, 61.3% payout ratio, and 6.6% 5-year dividend growth CAGR exceeding the 6% target (2x weight) [5]. The stock clears the liquidity floor easily at ~$211M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VICI under Ed Pitoniak has built an experiential real estate empire from scratch in under a decade, demonstrating genuine long-term thinking about creating a durable asset portfolio. The five investment criteria framework (lower cyclicality, no secular threat, supply/demand balance, proven durability, economic dynamism) reflects systematic infinite-game thinking about portfolio construction. However, the company is still young (founded 2017) and has not been tested through a major crisis or leadership transition. The purpose — owning extraordinary properties — is a compelling investment thesis but not a Just Cause in Sinek's sense. The CIO departure raises questions about organizational depth.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VICI's purpose — owning extraordinary experiential real estate — is specific and differentiating but describes a business strategy rather than a Just Cause [2]. Pitoniak articulates a compelling vision of the Las Vegas Strip as an 'incomparable experiential powerhouse' and positions VICI as the institutional owner of irreplaceable assets. His five investment criteria reflect genuine intentionality. But this is an investment thesis, not a future state so appealing people would sacrifice to advance it. The cause is well-defined for a REIT but shallow by Sinek's 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VICI's 35-person corporate team has operated with remarkable stability under Pitoniak's founding leadership since 2017, and the lean structure suggests high trust and autonomy among team members [2]. The team has executed $25B+ in transactions with just 35 people — extraordinary per-capita productivity that requires deep mutual trust. However, the departure of the Chief Investment Officer and elimination of that C-suite role raises concerns about organizational trust at the senior level. With only 35 employees, any departure is disproportionately significant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VICI acknowledges and studies the broader REIT landscape. Pitoniak frequently references how traditional net-lease REITs like Realty Income and NNN have built durable platforms over decades, using their example to improve VICI's own approach to capital allocation, lease structuring, and portfolio construction [2]. The competitive language is consistently about building the best portfolio of experiential assets and learning from industry leaders, not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VICI has evolved from a Caesars-focused gaming REIT to a diversified experiential real estate platform through the MGM Growth Properties merger, Venetian acquisition, Golden Entertainment casino deal, and expansion into non-gaming assets like One Beverly Hills [1][2]. This is meaningful strategic evolution driven by the vision of 'experiential real estate' as an asset class broader than gaming. However, the core business model (triple-net lease REIT) has remained constant throughout — the company is too young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Pitoniak demonstrated courage in executing the $17.2B MGM Growth Properties acquisition during COVID uncertainty, betting that experiential real estate would recover and thrive [1]. The $1.5B One Beverly Hills mezzanine loan represents expansion into luxury non-gaming assets, a strategic bet on the broader experiential thesis beyond gaming's core. However, VICI has benefited from a supportive capital markets environment since its 2018 IPO, and has not yet faced a true crisis that tested leadership's willingness to sacrifice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VICI Properties delivered a strong Q2 2026 with revenue up 5.7% YoY to $1.1B and AFFO growth of 7.8% to $679.6M ($0.62/share, +4.6%), raising full-year 2026 AFFO guidance to $2.45-$2.47/share [1]. The portfolio of 93 experiential assets anchored by irreplaceable Las Vegas Strip properties generates predictable, contractually escalating rent with 100% occupancy and weighted average lease term exceeding 30 years. At 8.97x forward P/E with a 6.83% dividend yield, investment-grade balance sheet (D/E 63%), and AI-immune real estate assets, VICI offers a compelling combination of current income and growth [5]. The five-investment-criteria framework ensures disciplined capital deployment, and expansion into non-gaming experiential assets (One Beverly Hills, Golden Entertainment) diversifies the earnings base. The 6.6% 5-year dividend growth CAGR exceeds inflation, providing real income growth.</w:t>
      </w:r>
    </w:p>
    <w:p>
      <w:pPr>
        <w:spacing w:after="120"/>
      </w:pPr>
      <w:r>
        <w:rPr>
          <w:rFonts w:ascii="Calibri" w:hAnsi="Calibri"/>
          <w:b w:val="0"/>
          <w:color w:val="3A4A28"/>
          <w:sz w:val="20"/>
        </w:rPr>
        <w:t>The primary concern is VICI's concentration in gaming real estate — despite diversification efforts, the portfolio remains heavily dependent on the financial health of Caesars Entertainment and MGM Resorts as tenants, creating binary counterparty risk if either operator faces distress during an economic downturn [3]. Revenue growth of 5.7% YoY is decelerating from the acquisition-driven 27% 5-year CAGR, and organic growth is limited to contractual rent escalators of 1.5-2.5% annually, capping AFFO/share growth in the mid-single digits absent new deals. The stock trades near its 52-week low ($25.82-$33.91 range), reflecting interest rate sensitivity — as a high-yield, long-duration income asset, VICI's valuation is mechanically compressed by higher-for-longer rates and the 6.83% yield competes directly with risk-free alternatives [5]. The CIO departure and role elimination raises questions about future deal capacity [3]. The Inspire Impact Score of -65 (MISALIGNED) due to Gambling and Sexually Explicit negative attributions limits allocation for faith-based portfolios despite 13 positive ESG attributions. The 61.3% payout ratio, while sustainable, is above the 40%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AFFO growth acceleration as rent escalators compound across the 93-property portfolio with Q2 2026 AFFO up 7.8% YoY and guidance raised to $2.45-$2.47/share, with additional accretion from Golden Entertainment and Gamehost acquisitions [1]</w:t>
      </w:r>
    </w:p>
    <w:p>
      <w:pPr>
        <w:spacing w:before="40" w:after="40"/>
        <w:ind w:left="283"/>
      </w:pPr>
      <w:r>
        <w:rPr>
          <w:rFonts w:ascii="Calibri" w:hAnsi="Calibri"/>
          <w:b/>
          <w:color w:val="4A6B25"/>
          <w:sz w:val="20"/>
        </w:rPr>
        <w:t xml:space="preserve">2. </w:t>
      </w:r>
      <w:r>
        <w:rPr>
          <w:rFonts w:ascii="Calibri" w:hAnsi="Calibri"/>
          <w:b w:val="0"/>
          <w:color w:val="3A4A28"/>
          <w:sz w:val="20"/>
        </w:rPr>
        <w:t>One Beverly Hills $1.5B mezzanine loan represents expansion into luxury experiential real estate, validating the platform's relevance beyond gaming and potentially unlocking a new investable category with higher growth potential [1]</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 if rates decline, VICI's 6.83% yield becomes increasingly attractive relative to risk-free alternatives, potentially driving valuation re-rating from current near-52-week lows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Tenant concentration risk — Caesars Entertainment and MGM Resorts represent the majority of rental income, creating binary downside if either operator faces financial distress during an economic downturn [3]</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high-yield, long-duration income asset trading near 52-week lows ($26.38 vs. $33.91 high), VICI's valuation is mechanically compressed by higher-for-longer rates and the 6.83% dividend competes directly with risk-free Treasury yields [5]</w:t>
      </w:r>
    </w:p>
    <w:p>
      <w:pPr>
        <w:spacing w:before="40" w:after="40"/>
        <w:ind w:left="283"/>
      </w:pPr>
      <w:r>
        <w:rPr>
          <w:rFonts w:ascii="Calibri" w:hAnsi="Calibri"/>
          <w:b/>
          <w:color w:val="4A6B25"/>
          <w:sz w:val="20"/>
        </w:rPr>
        <w:t xml:space="preserve">3. </w:t>
      </w:r>
      <w:r>
        <w:rPr>
          <w:rFonts w:ascii="Calibri" w:hAnsi="Calibri"/>
          <w:b w:val="0"/>
          <w:color w:val="3A4A28"/>
          <w:sz w:val="20"/>
        </w:rPr>
        <w:t>Organic growth ceiling — contractual rent escalators of 1.5-2.5% annually limit AFFO/share growth to mid-single digits without acquisitions, requiring continued capital deployment in an increasingly competitive experiential real estate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VICI's business is structurally immune to AI disruption. The company owns physical real estate — gaming floors, hotel towers, convention centers, entertainment venues — that AI cannot replicate, substitute, or displace [2]. Triple-net leases generate contractual rent escalators (1.5-2.5% annually) regardless of technology shifts. Pitoniak's investment criteria explicitly include 'absence of secular threat' as a requirement, and the experiential economy thesis — people want in-person entertainment, dining, and gaming — is fundamentally about physical presence, the opposite of what AI enables [2]. AI-driven productivity gains may actually increase disposable income and leisure time, boosting demand for experiential entertainment. The only indirect risk is AI enabling virtual gambling to substitute physical casino visits, but regulatory barriers and the social experience of gaming floors limit this threat. AI Opportunity (1/1): While VICI itself does not deploy AI, its tenants (Caesars, MGM) are investing heavily in AI-driven personalization, dynamic pricing, and operational efficiency, which supports tenant financial health and VICI's rent coverage ratios. Tenant AI adoption strengthens the credit behind VICI's leases.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VICI Properties Q2 2026 Earnings Release — Revenue $1.1B (+5.7%), AFFO $679.6M (+7.8%), AFFO/Share $0.62 (+4.6%), Guidance Raised to $2.45-$2.47/Share, BusinessWire, July 29, 2026</w:t>
      </w:r>
    </w:p>
    <w:p>
      <w:pPr>
        <w:spacing w:before="20" w:after="20"/>
        <w:ind w:left="170"/>
      </w:pPr>
      <w:r>
        <w:rPr>
          <w:rFonts w:ascii="Calibri" w:hAnsi="Calibri"/>
          <w:b/>
          <w:color w:val="4A6B25"/>
          <w:sz w:val="15"/>
        </w:rPr>
        <w:t xml:space="preserve">2. </w:t>
      </w:r>
      <w:r>
        <w:rPr>
          <w:rFonts w:ascii="Calibri" w:hAnsi="Calibri"/>
          <w:b w:val="0"/>
          <w:color w:val="3A4A28"/>
          <w:sz w:val="17"/>
        </w:rPr>
        <w:t>VICI Properties CEO Edward Pitoniak — 'How VICI Properties Built a Gaming Empire' Interview, Five Investment Criteria Framework, Casino Life Magazine and Nareit, March 2026</w:t>
      </w:r>
    </w:p>
    <w:p>
      <w:pPr>
        <w:spacing w:before="20" w:after="20"/>
        <w:ind w:left="170"/>
      </w:pPr>
      <w:r>
        <w:rPr>
          <w:rFonts w:ascii="Calibri" w:hAnsi="Calibri"/>
          <w:b/>
          <w:color w:val="4A6B25"/>
          <w:sz w:val="15"/>
        </w:rPr>
        <w:t xml:space="preserve">3. </w:t>
      </w:r>
      <w:r>
        <w:rPr>
          <w:rFonts w:ascii="Calibri" w:hAnsi="Calibri"/>
          <w:b w:val="0"/>
          <w:color w:val="3A4A28"/>
          <w:sz w:val="17"/>
        </w:rPr>
        <w:t>VICI Properties SWOT Analysis — CIO Departure, Tenant Concentration Risk, Investing.com 2025; Simply Wall St Analysis,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VICI Properties 2023-2024 ESG Report — SASB/TCFD Alignment, Environmental Sustainability, BusinessWire, September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VICI Key Statistics: Stock Price $26.38, Forward P/E 8.97x, D/E 63%, ROE 11.33%, Dividend Yield 6.83%, Avg Volume 8.2M,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